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58C4" w14:textId="471CAD7F" w:rsidR="000C24AF" w:rsidRDefault="000C24AF" w:rsidP="000C24AF">
      <w:pPr>
        <w:pStyle w:val="Heading1"/>
      </w:pPr>
    </w:p>
    <w:p w14:paraId="19382CB3" w14:textId="77777777" w:rsidR="000C24AF" w:rsidRDefault="000C24AF" w:rsidP="000C24AF"/>
    <w:p w14:paraId="1B178C2C" w14:textId="77777777" w:rsidR="001D243C" w:rsidRDefault="001D243C" w:rsidP="00103F4D">
      <w:pPr>
        <w:pStyle w:val="Frontpagesubhead"/>
      </w:pPr>
    </w:p>
    <w:p w14:paraId="71692FD9" w14:textId="77777777" w:rsidR="001D243C" w:rsidRDefault="001D243C" w:rsidP="00103F4D">
      <w:pPr>
        <w:pStyle w:val="Frontpagesubhead"/>
      </w:pPr>
    </w:p>
    <w:p w14:paraId="6B5D9D0D" w14:textId="77777777" w:rsidR="00F25CC7" w:rsidRDefault="00F25CC7" w:rsidP="00103F4D">
      <w:pPr>
        <w:pStyle w:val="Frontpagesubhead"/>
      </w:pPr>
      <w:r>
        <w:tab/>
      </w:r>
    </w:p>
    <w:p w14:paraId="015EFA6E" w14:textId="77777777" w:rsidR="00F25CC7" w:rsidRDefault="009C27F0" w:rsidP="00F25CC7">
      <w:r>
        <w:rPr>
          <w:noProof/>
          <w:lang w:eastAsia="en-GB"/>
        </w:rPr>
        <mc:AlternateContent>
          <mc:Choice Requires="wps">
            <w:drawing>
              <wp:anchor distT="0" distB="0" distL="114300" distR="114300" simplePos="0" relativeHeight="251661312" behindDoc="0" locked="0" layoutInCell="1" allowOverlap="1" wp14:anchorId="76F9A4DC" wp14:editId="62369317">
                <wp:simplePos x="0" y="0"/>
                <wp:positionH relativeFrom="page">
                  <wp:posOffset>648335</wp:posOffset>
                </wp:positionH>
                <wp:positionV relativeFrom="page">
                  <wp:posOffset>5688965</wp:posOffset>
                </wp:positionV>
                <wp:extent cx="4816800" cy="504000"/>
                <wp:effectExtent l="0" t="0" r="3175" b="10795"/>
                <wp:wrapNone/>
                <wp:docPr id="3" name="Text Box 3"/>
                <wp:cNvGraphicFramePr/>
                <a:graphic xmlns:a="http://schemas.openxmlformats.org/drawingml/2006/main">
                  <a:graphicData uri="http://schemas.microsoft.com/office/word/2010/wordprocessingShape">
                    <wps:wsp>
                      <wps:cNvSpPr txBox="1"/>
                      <wps:spPr>
                        <a:xfrm>
                          <a:off x="0" y="0"/>
                          <a:ext cx="4816800" cy="50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55A63" w14:textId="75F6B005" w:rsidR="00B9250C" w:rsidRPr="00103F4D" w:rsidRDefault="00ED6141" w:rsidP="009C27F0">
                            <w:pPr>
                              <w:pStyle w:val="Publisheddate"/>
                              <w:tabs>
                                <w:tab w:val="left" w:pos="6663"/>
                              </w:tabs>
                            </w:pPr>
                            <w:r>
                              <w:t>November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9A4DC" id="_x0000_t202" coordsize="21600,21600" o:spt="202" path="m,l,21600r21600,l21600,xe">
                <v:stroke joinstyle="miter"/>
                <v:path gradientshapeok="t" o:connecttype="rect"/>
              </v:shapetype>
              <v:shape id="Text Box 3" o:spid="_x0000_s1026" type="#_x0000_t202" style="position:absolute;margin-left:51.05pt;margin-top:447.95pt;width:379.3pt;height:3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" filled="f" stroked="f" strokeweight=".5pt">
                <v:textbox inset="0,0,0,0">
                  <w:txbxContent>
                    <w:p w14:paraId="7A855A63" w14:textId="75F6B005" w:rsidR="00B9250C" w:rsidRPr="00103F4D" w:rsidRDefault="00ED6141" w:rsidP="009C27F0">
                      <w:pPr>
                        <w:pStyle w:val="Publisheddate"/>
                        <w:tabs>
                          <w:tab w:val="left" w:pos="6663"/>
                        </w:tabs>
                      </w:pPr>
                      <w:r>
                        <w:t>November 2018</w:t>
                      </w:r>
                    </w:p>
                  </w:txbxContent>
                </v:textbox>
                <w10:wrap anchorx="page" anchory="page"/>
              </v:shape>
            </w:pict>
          </mc:Fallback>
        </mc:AlternateContent>
      </w:r>
    </w:p>
    <w:p w14:paraId="33BA076F" w14:textId="77777777" w:rsidR="001D243C" w:rsidRDefault="001D243C" w:rsidP="00F25CC7"/>
    <w:p w14:paraId="02BBED05" w14:textId="77777777" w:rsidR="00D57B0E" w:rsidRDefault="00D57B0E" w:rsidP="00F25CC7"/>
    <w:p w14:paraId="7E808090" w14:textId="77777777" w:rsidR="009621D9" w:rsidRDefault="009621D9" w:rsidP="00F25CC7"/>
    <w:p w14:paraId="22D10F29" w14:textId="77777777" w:rsidR="009621D9" w:rsidRDefault="009621D9" w:rsidP="00F25CC7"/>
    <w:p w14:paraId="493F6DFD" w14:textId="77777777" w:rsidR="009621D9" w:rsidRDefault="009621D9" w:rsidP="00F25CC7"/>
    <w:p w14:paraId="216B5170" w14:textId="77777777" w:rsidR="009621D9" w:rsidRDefault="009621D9" w:rsidP="00F25CC7"/>
    <w:p w14:paraId="2D1FF6F4" w14:textId="77777777" w:rsidR="00D57B0E" w:rsidRDefault="00D57B0E" w:rsidP="00F25CC7">
      <w:r>
        <w:rPr>
          <w:noProof/>
          <w:lang w:eastAsia="en-GB"/>
        </w:rPr>
        <mc:AlternateContent>
          <mc:Choice Requires="wps">
            <w:drawing>
              <wp:anchor distT="0" distB="0" distL="114300" distR="114300" simplePos="0" relativeHeight="251659264" behindDoc="0" locked="0" layoutInCell="1" allowOverlap="1" wp14:anchorId="62B5CD45" wp14:editId="7390A9D4">
                <wp:simplePos x="0" y="0"/>
                <wp:positionH relativeFrom="page">
                  <wp:posOffset>643890</wp:posOffset>
                </wp:positionH>
                <wp:positionV relativeFrom="page">
                  <wp:posOffset>3567430</wp:posOffset>
                </wp:positionV>
                <wp:extent cx="6371590" cy="2767965"/>
                <wp:effectExtent l="0" t="0" r="10160" b="13335"/>
                <wp:wrapNone/>
                <wp:docPr id="2" name="Text Box 2"/>
                <wp:cNvGraphicFramePr/>
                <a:graphic xmlns:a="http://schemas.openxmlformats.org/drawingml/2006/main">
                  <a:graphicData uri="http://schemas.microsoft.com/office/word/2010/wordprocessingShape">
                    <wps:wsp>
                      <wps:cNvSpPr txBox="1"/>
                      <wps:spPr>
                        <a:xfrm>
                          <a:off x="0" y="0"/>
                          <a:ext cx="6371590" cy="2767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EA11F4" w14:textId="5DBE4666" w:rsidR="00B9250C" w:rsidRDefault="00861E0B" w:rsidP="00103F4D">
                            <w:pPr>
                              <w:pStyle w:val="FrontpageTitle"/>
                              <w:rPr>
                                <w:bCs/>
                                <w:sz w:val="72"/>
                                <w:szCs w:val="72"/>
                              </w:rPr>
                            </w:pPr>
                            <w:sdt>
                              <w:sdtPr>
                                <w:rPr>
                                  <w:bCs/>
                                  <w:sz w:val="72"/>
                                  <w:szCs w:val="72"/>
                                </w:rPr>
                                <w:alias w:val="Title"/>
                                <w:tag w:val="title"/>
                                <w:id w:val="1036308880"/>
                                <w:dataBinding w:prefixMappings="xmlns:ns0='http://purl.org/dc/elements/1.1/' xmlns:ns1='http://schemas.openxmlformats.org/package/2006/metadata/core-properties' " w:xpath="/ns1:coreProperties[1]/ns0:title[1]" w:storeItemID="{6C3C8BC8-F283-45AE-878A-BAB7291924A1}"/>
                                <w:text/>
                              </w:sdtPr>
                              <w:sdtEndPr/>
                              <w:sdtContent>
                                <w:r w:rsidR="00B9250C" w:rsidRPr="00D57B0E">
                                  <w:rPr>
                                    <w:bCs/>
                                    <w:sz w:val="72"/>
                                    <w:szCs w:val="72"/>
                                  </w:rPr>
                                  <w:t xml:space="preserve">Electronic </w:t>
                                </w:r>
                                <w:proofErr w:type="spellStart"/>
                                <w:r w:rsidR="00B9250C">
                                  <w:rPr>
                                    <w:bCs/>
                                    <w:sz w:val="72"/>
                                    <w:szCs w:val="72"/>
                                  </w:rPr>
                                  <w:t>fetal</w:t>
                                </w:r>
                                <w:proofErr w:type="spellEnd"/>
                                <w:r w:rsidR="00B9250C" w:rsidRPr="00D57B0E">
                                  <w:rPr>
                                    <w:bCs/>
                                    <w:sz w:val="72"/>
                                    <w:szCs w:val="72"/>
                                  </w:rPr>
                                  <w:t xml:space="preserve"> monitoring</w:t>
                                </w:r>
                              </w:sdtContent>
                            </w:sdt>
                          </w:p>
                          <w:p w14:paraId="42D85180" w14:textId="559180A8" w:rsidR="00ED6141" w:rsidRPr="00ED6141" w:rsidRDefault="00ED6141" w:rsidP="00103F4D">
                            <w:pPr>
                              <w:pStyle w:val="FrontpageTitle"/>
                              <w:rPr>
                                <w:sz w:val="22"/>
                                <w:szCs w:val="22"/>
                              </w:rPr>
                            </w:pPr>
                            <w:r>
                              <w:rPr>
                                <w:sz w:val="22"/>
                                <w:szCs w:val="22"/>
                              </w:rPr>
                              <w:t>Benefit Review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5CD45" id="Text Box 2" o:spid="_x0000_s1027" type="#_x0000_t202" style="position:absolute;margin-left:50.7pt;margin-top:280.9pt;width:501.7pt;height:21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" filled="f" stroked="f" strokeweight=".5pt">
                <v:textbox inset="0,0,0,0">
                  <w:txbxContent>
                    <w:p w14:paraId="62EA11F4" w14:textId="5DBE4666" w:rsidR="00B9250C" w:rsidRDefault="00861E0B" w:rsidP="00103F4D">
                      <w:pPr>
                        <w:pStyle w:val="FrontpageTitle"/>
                        <w:rPr>
                          <w:bCs/>
                          <w:sz w:val="72"/>
                          <w:szCs w:val="72"/>
                        </w:rPr>
                      </w:pPr>
                      <w:sdt>
                        <w:sdtPr>
                          <w:rPr>
                            <w:bCs/>
                            <w:sz w:val="72"/>
                            <w:szCs w:val="72"/>
                          </w:rPr>
                          <w:alias w:val="Title"/>
                          <w:tag w:val="title"/>
                          <w:id w:val="1036308880"/>
                          <w:dataBinding w:prefixMappings="xmlns:ns0='http://purl.org/dc/elements/1.1/' xmlns:ns1='http://schemas.openxmlformats.org/package/2006/metadata/core-properties' " w:xpath="/ns1:coreProperties[1]/ns0:title[1]" w:storeItemID="{6C3C8BC8-F283-45AE-878A-BAB7291924A1}"/>
                          <w:text/>
                        </w:sdtPr>
                        <w:sdtEndPr/>
                        <w:sdtContent>
                          <w:r w:rsidR="00B9250C" w:rsidRPr="00D57B0E">
                            <w:rPr>
                              <w:bCs/>
                              <w:sz w:val="72"/>
                              <w:szCs w:val="72"/>
                            </w:rPr>
                            <w:t xml:space="preserve">Electronic </w:t>
                          </w:r>
                          <w:proofErr w:type="spellStart"/>
                          <w:r w:rsidR="00B9250C">
                            <w:rPr>
                              <w:bCs/>
                              <w:sz w:val="72"/>
                              <w:szCs w:val="72"/>
                            </w:rPr>
                            <w:t>fetal</w:t>
                          </w:r>
                          <w:proofErr w:type="spellEnd"/>
                          <w:r w:rsidR="00B9250C" w:rsidRPr="00D57B0E">
                            <w:rPr>
                              <w:bCs/>
                              <w:sz w:val="72"/>
                              <w:szCs w:val="72"/>
                            </w:rPr>
                            <w:t xml:space="preserve"> monitoring</w:t>
                          </w:r>
                        </w:sdtContent>
                      </w:sdt>
                    </w:p>
                    <w:p w14:paraId="42D85180" w14:textId="559180A8" w:rsidR="00ED6141" w:rsidRPr="00ED6141" w:rsidRDefault="00ED6141" w:rsidP="00103F4D">
                      <w:pPr>
                        <w:pStyle w:val="FrontpageTitle"/>
                        <w:rPr>
                          <w:sz w:val="22"/>
                          <w:szCs w:val="22"/>
                        </w:rPr>
                      </w:pPr>
                      <w:r>
                        <w:rPr>
                          <w:sz w:val="22"/>
                          <w:szCs w:val="22"/>
                        </w:rPr>
                        <w:t>Benefit Review</w:t>
                      </w:r>
                    </w:p>
                  </w:txbxContent>
                </v:textbox>
                <w10:wrap anchorx="page" anchory="page"/>
              </v:shape>
            </w:pict>
          </mc:Fallback>
        </mc:AlternateContent>
      </w:r>
    </w:p>
    <w:p w14:paraId="3E51AA22" w14:textId="77777777" w:rsidR="00D57B0E" w:rsidRDefault="00D57B0E" w:rsidP="00F25CC7"/>
    <w:p w14:paraId="5DF8BCBB" w14:textId="77777777" w:rsidR="00D57B0E" w:rsidRDefault="00D57B0E" w:rsidP="00F25CC7"/>
    <w:p w14:paraId="2A6D3EBB" w14:textId="77777777" w:rsidR="00D57B0E" w:rsidRDefault="00D57B0E" w:rsidP="00F25CC7"/>
    <w:p w14:paraId="3C0C5BE2" w14:textId="77777777" w:rsidR="00D57B0E" w:rsidRDefault="00D57B0E" w:rsidP="00F25CC7"/>
    <w:p w14:paraId="412DBFAC" w14:textId="77777777" w:rsidR="00D57B0E" w:rsidRDefault="00D57B0E" w:rsidP="00F25CC7"/>
    <w:p w14:paraId="131F09C5" w14:textId="77777777" w:rsidR="00D57B0E" w:rsidRDefault="00D57B0E" w:rsidP="00F25CC7"/>
    <w:p w14:paraId="28C68DB4" w14:textId="77777777" w:rsidR="00D57B0E" w:rsidRDefault="00D57B0E" w:rsidP="00F25CC7"/>
    <w:p w14:paraId="643702A3" w14:textId="77777777" w:rsidR="00D57B0E" w:rsidRDefault="00D57B0E" w:rsidP="00F25CC7"/>
    <w:p w14:paraId="0D73FFDB" w14:textId="77777777" w:rsidR="00D57B0E" w:rsidRDefault="00D57B0E" w:rsidP="00F25CC7"/>
    <w:p w14:paraId="362B2E08" w14:textId="77777777" w:rsidR="00D57B0E" w:rsidRDefault="00D57B0E" w:rsidP="00F25CC7"/>
    <w:p w14:paraId="3191A899" w14:textId="77777777" w:rsidR="00D57B0E" w:rsidRDefault="00D57B0E" w:rsidP="00F25CC7"/>
    <w:p w14:paraId="3BFDB832" w14:textId="77777777" w:rsidR="00D57B0E" w:rsidRPr="00F25CC7" w:rsidRDefault="00D57B0E" w:rsidP="00F25CC7">
      <w:pPr>
        <w:sectPr w:rsidR="00D57B0E" w:rsidRPr="00F25CC7" w:rsidSect="00F5718C">
          <w:footerReference w:type="default" r:id="rId11"/>
          <w:headerReference w:type="first" r:id="rId12"/>
          <w:footerReference w:type="first" r:id="rId13"/>
          <w:pgSz w:w="11906" w:h="16838"/>
          <w:pgMar w:top="1021" w:right="1021" w:bottom="1021" w:left="1021" w:header="454" w:footer="680" w:gutter="0"/>
          <w:cols w:space="708"/>
          <w:titlePg/>
          <w:docGrid w:linePitch="360"/>
        </w:sectPr>
      </w:pPr>
    </w:p>
    <w:bookmarkStart w:id="0" w:name="_Toc492568596" w:displacedByCustomXml="next"/>
    <w:bookmarkStart w:id="1" w:name="_Toc492568650" w:displacedByCustomXml="next"/>
    <w:bookmarkStart w:id="2" w:name="_Toc350174611" w:displacedByCustomXml="next"/>
    <w:sdt>
      <w:sdtPr>
        <w:rPr>
          <w:rFonts w:ascii="Arial" w:eastAsia="Times New Roman" w:hAnsi="Arial" w:cs="Times New Roman"/>
          <w:b w:val="0"/>
          <w:bCs w:val="0"/>
          <w:color w:val="0F0F0F" w:themeColor="text1"/>
          <w:spacing w:val="0"/>
          <w:sz w:val="24"/>
          <w:szCs w:val="24"/>
          <w:lang w:val="en-GB" w:eastAsia="en-US"/>
          <w14:ligatures w14:val="none"/>
        </w:rPr>
        <w:id w:val="-686054898"/>
        <w:docPartObj>
          <w:docPartGallery w:val="Table of Contents"/>
          <w:docPartUnique/>
        </w:docPartObj>
      </w:sdtPr>
      <w:sdtEndPr>
        <w:rPr>
          <w:noProof/>
        </w:rPr>
      </w:sdtEndPr>
      <w:sdtContent>
        <w:p w14:paraId="0F901C00" w14:textId="77777777" w:rsidR="00905DA0" w:rsidRDefault="00905DA0">
          <w:pPr>
            <w:pStyle w:val="TOCHeading"/>
          </w:pPr>
          <w:r>
            <w:t>Contents</w:t>
          </w:r>
        </w:p>
        <w:bookmarkStart w:id="3" w:name="_GoBack"/>
        <w:bookmarkEnd w:id="3"/>
        <w:p w14:paraId="78218B22" w14:textId="7484EF51" w:rsidR="006A3A7A" w:rsidRDefault="00905DA0">
          <w:pPr>
            <w:pStyle w:val="TOC1"/>
            <w:tabs>
              <w:tab w:val="left" w:pos="660"/>
            </w:tabs>
            <w:rPr>
              <w:rFonts w:asciiTheme="minorHAnsi" w:eastAsiaTheme="minorEastAsia" w:hAnsiTheme="minorHAnsi" w:cstheme="minorBidi"/>
              <w:b w:val="0"/>
              <w:color w:val="auto"/>
              <w:sz w:val="22"/>
              <w:szCs w:val="22"/>
              <w:lang w:eastAsia="en-GB"/>
            </w:rPr>
          </w:pPr>
          <w:r>
            <w:fldChar w:fldCharType="begin"/>
          </w:r>
          <w:r>
            <w:instrText xml:space="preserve"> TOC \o "1-3" \h \z \u </w:instrText>
          </w:r>
          <w:r>
            <w:fldChar w:fldCharType="separate"/>
          </w:r>
          <w:hyperlink w:anchor="_Toc535485881" w:history="1">
            <w:r w:rsidR="006A3A7A" w:rsidRPr="00FD3DDA">
              <w:rPr>
                <w:rStyle w:val="Hyperlink"/>
              </w:rPr>
              <w:t>1.</w:t>
            </w:r>
            <w:r w:rsidR="006A3A7A">
              <w:rPr>
                <w:rFonts w:asciiTheme="minorHAnsi" w:eastAsiaTheme="minorEastAsia" w:hAnsiTheme="minorHAnsi" w:cstheme="minorBidi"/>
                <w:b w:val="0"/>
                <w:color w:val="auto"/>
                <w:sz w:val="22"/>
                <w:szCs w:val="22"/>
                <w:lang w:eastAsia="en-GB"/>
              </w:rPr>
              <w:tab/>
            </w:r>
            <w:r w:rsidR="006A3A7A" w:rsidRPr="00FD3DDA">
              <w:rPr>
                <w:rStyle w:val="Hyperlink"/>
              </w:rPr>
              <w:t>Introduction</w:t>
            </w:r>
            <w:r w:rsidR="006A3A7A">
              <w:rPr>
                <w:webHidden/>
              </w:rPr>
              <w:tab/>
            </w:r>
            <w:r w:rsidR="006A3A7A">
              <w:rPr>
                <w:webHidden/>
              </w:rPr>
              <w:fldChar w:fldCharType="begin"/>
            </w:r>
            <w:r w:rsidR="006A3A7A">
              <w:rPr>
                <w:webHidden/>
              </w:rPr>
              <w:instrText xml:space="preserve"> PAGEREF _Toc535485881 \h </w:instrText>
            </w:r>
            <w:r w:rsidR="006A3A7A">
              <w:rPr>
                <w:webHidden/>
              </w:rPr>
            </w:r>
            <w:r w:rsidR="006A3A7A">
              <w:rPr>
                <w:webHidden/>
              </w:rPr>
              <w:fldChar w:fldCharType="separate"/>
            </w:r>
            <w:r w:rsidR="006A3A7A">
              <w:rPr>
                <w:webHidden/>
              </w:rPr>
              <w:t>3</w:t>
            </w:r>
            <w:r w:rsidR="006A3A7A">
              <w:rPr>
                <w:webHidden/>
              </w:rPr>
              <w:fldChar w:fldCharType="end"/>
            </w:r>
          </w:hyperlink>
        </w:p>
        <w:p w14:paraId="39E3918F" w14:textId="64A48943" w:rsidR="006A3A7A" w:rsidRDefault="006A3A7A">
          <w:pPr>
            <w:pStyle w:val="TOC1"/>
            <w:tabs>
              <w:tab w:val="left" w:pos="660"/>
            </w:tabs>
            <w:rPr>
              <w:rFonts w:asciiTheme="minorHAnsi" w:eastAsiaTheme="minorEastAsia" w:hAnsiTheme="minorHAnsi" w:cstheme="minorBidi"/>
              <w:b w:val="0"/>
              <w:color w:val="auto"/>
              <w:sz w:val="22"/>
              <w:szCs w:val="22"/>
              <w:lang w:eastAsia="en-GB"/>
            </w:rPr>
          </w:pPr>
          <w:hyperlink w:anchor="_Toc535485882" w:history="1">
            <w:r w:rsidRPr="00FD3DDA">
              <w:rPr>
                <w:rStyle w:val="Hyperlink"/>
                <w:lang w:eastAsia="en-GB"/>
              </w:rPr>
              <w:t>2.</w:t>
            </w:r>
            <w:r>
              <w:rPr>
                <w:rFonts w:asciiTheme="minorHAnsi" w:eastAsiaTheme="minorEastAsia" w:hAnsiTheme="minorHAnsi" w:cstheme="minorBidi"/>
                <w:b w:val="0"/>
                <w:color w:val="auto"/>
                <w:sz w:val="22"/>
                <w:szCs w:val="22"/>
                <w:lang w:eastAsia="en-GB"/>
              </w:rPr>
              <w:tab/>
            </w:r>
            <w:r w:rsidRPr="00FD3DDA">
              <w:rPr>
                <w:rStyle w:val="Hyperlink"/>
                <w:lang w:eastAsia="en-GB"/>
              </w:rPr>
              <w:t>Background</w:t>
            </w:r>
            <w:r>
              <w:rPr>
                <w:webHidden/>
              </w:rPr>
              <w:tab/>
            </w:r>
            <w:r>
              <w:rPr>
                <w:webHidden/>
              </w:rPr>
              <w:fldChar w:fldCharType="begin"/>
            </w:r>
            <w:r>
              <w:rPr>
                <w:webHidden/>
              </w:rPr>
              <w:instrText xml:space="preserve"> PAGEREF _Toc535485882 \h </w:instrText>
            </w:r>
            <w:r>
              <w:rPr>
                <w:webHidden/>
              </w:rPr>
            </w:r>
            <w:r>
              <w:rPr>
                <w:webHidden/>
              </w:rPr>
              <w:fldChar w:fldCharType="separate"/>
            </w:r>
            <w:r>
              <w:rPr>
                <w:webHidden/>
              </w:rPr>
              <w:t>3</w:t>
            </w:r>
            <w:r>
              <w:rPr>
                <w:webHidden/>
              </w:rPr>
              <w:fldChar w:fldCharType="end"/>
            </w:r>
          </w:hyperlink>
        </w:p>
        <w:p w14:paraId="6A53FEAD" w14:textId="1737A6F5" w:rsidR="006A3A7A" w:rsidRDefault="006A3A7A">
          <w:pPr>
            <w:pStyle w:val="TOC1"/>
            <w:tabs>
              <w:tab w:val="left" w:pos="660"/>
            </w:tabs>
            <w:rPr>
              <w:rFonts w:asciiTheme="minorHAnsi" w:eastAsiaTheme="minorEastAsia" w:hAnsiTheme="minorHAnsi" w:cstheme="minorBidi"/>
              <w:b w:val="0"/>
              <w:color w:val="auto"/>
              <w:sz w:val="22"/>
              <w:szCs w:val="22"/>
              <w:lang w:eastAsia="en-GB"/>
            </w:rPr>
          </w:pPr>
          <w:hyperlink w:anchor="_Toc535485883" w:history="1">
            <w:r w:rsidRPr="00FD3DDA">
              <w:rPr>
                <w:rStyle w:val="Hyperlink"/>
                <w:lang w:eastAsia="en-GB"/>
              </w:rPr>
              <w:t>3.</w:t>
            </w:r>
            <w:r>
              <w:rPr>
                <w:rFonts w:asciiTheme="minorHAnsi" w:eastAsiaTheme="minorEastAsia" w:hAnsiTheme="minorHAnsi" w:cstheme="minorBidi"/>
                <w:b w:val="0"/>
                <w:color w:val="auto"/>
                <w:sz w:val="22"/>
                <w:szCs w:val="22"/>
                <w:lang w:eastAsia="en-GB"/>
              </w:rPr>
              <w:tab/>
            </w:r>
            <w:r w:rsidRPr="00FD3DDA">
              <w:rPr>
                <w:rStyle w:val="Hyperlink"/>
                <w:lang w:eastAsia="en-GB"/>
              </w:rPr>
              <w:t>Project objectives</w:t>
            </w:r>
            <w:r>
              <w:rPr>
                <w:webHidden/>
              </w:rPr>
              <w:tab/>
            </w:r>
            <w:r>
              <w:rPr>
                <w:webHidden/>
              </w:rPr>
              <w:fldChar w:fldCharType="begin"/>
            </w:r>
            <w:r>
              <w:rPr>
                <w:webHidden/>
              </w:rPr>
              <w:instrText xml:space="preserve"> PAGEREF _Toc535485883 \h </w:instrText>
            </w:r>
            <w:r>
              <w:rPr>
                <w:webHidden/>
              </w:rPr>
            </w:r>
            <w:r>
              <w:rPr>
                <w:webHidden/>
              </w:rPr>
              <w:fldChar w:fldCharType="separate"/>
            </w:r>
            <w:r>
              <w:rPr>
                <w:webHidden/>
              </w:rPr>
              <w:t>3</w:t>
            </w:r>
            <w:r>
              <w:rPr>
                <w:webHidden/>
              </w:rPr>
              <w:fldChar w:fldCharType="end"/>
            </w:r>
          </w:hyperlink>
        </w:p>
        <w:p w14:paraId="335E29FC" w14:textId="3D3CC6D3" w:rsidR="006A3A7A" w:rsidRDefault="006A3A7A">
          <w:pPr>
            <w:pStyle w:val="TOC1"/>
            <w:tabs>
              <w:tab w:val="left" w:pos="660"/>
            </w:tabs>
            <w:rPr>
              <w:rFonts w:asciiTheme="minorHAnsi" w:eastAsiaTheme="minorEastAsia" w:hAnsiTheme="minorHAnsi" w:cstheme="minorBidi"/>
              <w:b w:val="0"/>
              <w:color w:val="auto"/>
              <w:sz w:val="22"/>
              <w:szCs w:val="22"/>
              <w:lang w:eastAsia="en-GB"/>
            </w:rPr>
          </w:pPr>
          <w:hyperlink w:anchor="_Toc535485884" w:history="1">
            <w:r w:rsidRPr="00FD3DDA">
              <w:rPr>
                <w:rStyle w:val="Hyperlink"/>
              </w:rPr>
              <w:t>4.</w:t>
            </w:r>
            <w:r>
              <w:rPr>
                <w:rFonts w:asciiTheme="minorHAnsi" w:eastAsiaTheme="minorEastAsia" w:hAnsiTheme="minorHAnsi" w:cstheme="minorBidi"/>
                <w:b w:val="0"/>
                <w:color w:val="auto"/>
                <w:sz w:val="22"/>
                <w:szCs w:val="22"/>
                <w:lang w:eastAsia="en-GB"/>
              </w:rPr>
              <w:tab/>
            </w:r>
            <w:r w:rsidRPr="00FD3DDA">
              <w:rPr>
                <w:rStyle w:val="Hyperlink"/>
              </w:rPr>
              <w:t>Benefits achieved to date</w:t>
            </w:r>
            <w:r>
              <w:rPr>
                <w:webHidden/>
              </w:rPr>
              <w:tab/>
            </w:r>
            <w:r>
              <w:rPr>
                <w:webHidden/>
              </w:rPr>
              <w:fldChar w:fldCharType="begin"/>
            </w:r>
            <w:r>
              <w:rPr>
                <w:webHidden/>
              </w:rPr>
              <w:instrText xml:space="preserve"> PAGEREF _Toc535485884 \h </w:instrText>
            </w:r>
            <w:r>
              <w:rPr>
                <w:webHidden/>
              </w:rPr>
            </w:r>
            <w:r>
              <w:rPr>
                <w:webHidden/>
              </w:rPr>
              <w:fldChar w:fldCharType="separate"/>
            </w:r>
            <w:r>
              <w:rPr>
                <w:webHidden/>
              </w:rPr>
              <w:t>5</w:t>
            </w:r>
            <w:r>
              <w:rPr>
                <w:webHidden/>
              </w:rPr>
              <w:fldChar w:fldCharType="end"/>
            </w:r>
          </w:hyperlink>
        </w:p>
        <w:p w14:paraId="3E7D7B0B" w14:textId="364A3C64" w:rsidR="006A3A7A" w:rsidRDefault="006A3A7A">
          <w:pPr>
            <w:pStyle w:val="TOC2"/>
            <w:tabs>
              <w:tab w:val="right" w:pos="9016"/>
            </w:tabs>
            <w:rPr>
              <w:rFonts w:asciiTheme="minorHAnsi" w:eastAsiaTheme="minorEastAsia" w:hAnsiTheme="minorHAnsi" w:cstheme="minorBidi"/>
              <w:noProof/>
              <w:color w:val="auto"/>
              <w:sz w:val="22"/>
              <w:szCs w:val="22"/>
              <w:lang w:eastAsia="en-GB"/>
            </w:rPr>
          </w:pPr>
          <w:hyperlink w:anchor="_Toc535485885" w:history="1">
            <w:r w:rsidRPr="00FD3DDA">
              <w:rPr>
                <w:rStyle w:val="Hyperlink"/>
                <w:noProof/>
              </w:rPr>
              <w:t>Patient Safety</w:t>
            </w:r>
            <w:r>
              <w:rPr>
                <w:noProof/>
                <w:webHidden/>
              </w:rPr>
              <w:tab/>
            </w:r>
            <w:r>
              <w:rPr>
                <w:noProof/>
                <w:webHidden/>
              </w:rPr>
              <w:fldChar w:fldCharType="begin"/>
            </w:r>
            <w:r>
              <w:rPr>
                <w:noProof/>
                <w:webHidden/>
              </w:rPr>
              <w:instrText xml:space="preserve"> PAGEREF _Toc535485885 \h </w:instrText>
            </w:r>
            <w:r>
              <w:rPr>
                <w:noProof/>
                <w:webHidden/>
              </w:rPr>
            </w:r>
            <w:r>
              <w:rPr>
                <w:noProof/>
                <w:webHidden/>
              </w:rPr>
              <w:fldChar w:fldCharType="separate"/>
            </w:r>
            <w:r>
              <w:rPr>
                <w:noProof/>
                <w:webHidden/>
              </w:rPr>
              <w:t>5</w:t>
            </w:r>
            <w:r>
              <w:rPr>
                <w:noProof/>
                <w:webHidden/>
              </w:rPr>
              <w:fldChar w:fldCharType="end"/>
            </w:r>
          </w:hyperlink>
        </w:p>
        <w:p w14:paraId="6EE62E4F" w14:textId="58E65FA9" w:rsidR="006A3A7A" w:rsidRDefault="006A3A7A">
          <w:pPr>
            <w:pStyle w:val="TOC2"/>
            <w:tabs>
              <w:tab w:val="right" w:pos="9016"/>
            </w:tabs>
            <w:rPr>
              <w:rFonts w:asciiTheme="minorHAnsi" w:eastAsiaTheme="minorEastAsia" w:hAnsiTheme="minorHAnsi" w:cstheme="minorBidi"/>
              <w:noProof/>
              <w:color w:val="auto"/>
              <w:sz w:val="22"/>
              <w:szCs w:val="22"/>
              <w:lang w:eastAsia="en-GB"/>
            </w:rPr>
          </w:pPr>
          <w:hyperlink w:anchor="_Toc535485886" w:history="1">
            <w:r w:rsidRPr="00FD3DDA">
              <w:rPr>
                <w:rStyle w:val="Hyperlink"/>
                <w:rFonts w:cstheme="majorBidi"/>
                <w:noProof/>
              </w:rPr>
              <w:t>Patient Experience</w:t>
            </w:r>
            <w:r>
              <w:rPr>
                <w:noProof/>
                <w:webHidden/>
              </w:rPr>
              <w:tab/>
            </w:r>
            <w:r>
              <w:rPr>
                <w:noProof/>
                <w:webHidden/>
              </w:rPr>
              <w:fldChar w:fldCharType="begin"/>
            </w:r>
            <w:r>
              <w:rPr>
                <w:noProof/>
                <w:webHidden/>
              </w:rPr>
              <w:instrText xml:space="preserve"> PAGEREF _Toc535485886 \h </w:instrText>
            </w:r>
            <w:r>
              <w:rPr>
                <w:noProof/>
                <w:webHidden/>
              </w:rPr>
            </w:r>
            <w:r>
              <w:rPr>
                <w:noProof/>
                <w:webHidden/>
              </w:rPr>
              <w:fldChar w:fldCharType="separate"/>
            </w:r>
            <w:r>
              <w:rPr>
                <w:noProof/>
                <w:webHidden/>
              </w:rPr>
              <w:t>5</w:t>
            </w:r>
            <w:r>
              <w:rPr>
                <w:noProof/>
                <w:webHidden/>
              </w:rPr>
              <w:fldChar w:fldCharType="end"/>
            </w:r>
          </w:hyperlink>
        </w:p>
        <w:p w14:paraId="0F8B7A53" w14:textId="754A7923" w:rsidR="006A3A7A" w:rsidRDefault="006A3A7A">
          <w:pPr>
            <w:pStyle w:val="TOC2"/>
            <w:tabs>
              <w:tab w:val="right" w:pos="9016"/>
            </w:tabs>
            <w:rPr>
              <w:rFonts w:asciiTheme="minorHAnsi" w:eastAsiaTheme="minorEastAsia" w:hAnsiTheme="minorHAnsi" w:cstheme="minorBidi"/>
              <w:noProof/>
              <w:color w:val="auto"/>
              <w:sz w:val="22"/>
              <w:szCs w:val="22"/>
              <w:lang w:eastAsia="en-GB"/>
            </w:rPr>
          </w:pPr>
          <w:hyperlink w:anchor="_Toc535485887" w:history="1">
            <w:r w:rsidRPr="00FD3DDA">
              <w:rPr>
                <w:rStyle w:val="Hyperlink"/>
                <w:noProof/>
                <w:lang w:eastAsia="en-GB"/>
              </w:rPr>
              <w:t>Staff Efficiency</w:t>
            </w:r>
            <w:r>
              <w:rPr>
                <w:noProof/>
                <w:webHidden/>
              </w:rPr>
              <w:tab/>
            </w:r>
            <w:r>
              <w:rPr>
                <w:noProof/>
                <w:webHidden/>
              </w:rPr>
              <w:fldChar w:fldCharType="begin"/>
            </w:r>
            <w:r>
              <w:rPr>
                <w:noProof/>
                <w:webHidden/>
              </w:rPr>
              <w:instrText xml:space="preserve"> PAGEREF _Toc535485887 \h </w:instrText>
            </w:r>
            <w:r>
              <w:rPr>
                <w:noProof/>
                <w:webHidden/>
              </w:rPr>
            </w:r>
            <w:r>
              <w:rPr>
                <w:noProof/>
                <w:webHidden/>
              </w:rPr>
              <w:fldChar w:fldCharType="separate"/>
            </w:r>
            <w:r>
              <w:rPr>
                <w:noProof/>
                <w:webHidden/>
              </w:rPr>
              <w:t>5</w:t>
            </w:r>
            <w:r>
              <w:rPr>
                <w:noProof/>
                <w:webHidden/>
              </w:rPr>
              <w:fldChar w:fldCharType="end"/>
            </w:r>
          </w:hyperlink>
        </w:p>
        <w:p w14:paraId="74E06BBC" w14:textId="2D9AFB70" w:rsidR="006A3A7A" w:rsidRDefault="006A3A7A">
          <w:pPr>
            <w:pStyle w:val="TOC1"/>
            <w:tabs>
              <w:tab w:val="left" w:pos="660"/>
            </w:tabs>
            <w:rPr>
              <w:rFonts w:asciiTheme="minorHAnsi" w:eastAsiaTheme="minorEastAsia" w:hAnsiTheme="minorHAnsi" w:cstheme="minorBidi"/>
              <w:b w:val="0"/>
              <w:color w:val="auto"/>
              <w:sz w:val="22"/>
              <w:szCs w:val="22"/>
              <w:lang w:eastAsia="en-GB"/>
            </w:rPr>
          </w:pPr>
          <w:hyperlink w:anchor="_Toc535485888" w:history="1">
            <w:r w:rsidRPr="00FD3DDA">
              <w:rPr>
                <w:rStyle w:val="Hyperlink"/>
              </w:rPr>
              <w:t>5.</w:t>
            </w:r>
            <w:r>
              <w:rPr>
                <w:rFonts w:asciiTheme="minorHAnsi" w:eastAsiaTheme="minorEastAsia" w:hAnsiTheme="minorHAnsi" w:cstheme="minorBidi"/>
                <w:b w:val="0"/>
                <w:color w:val="auto"/>
                <w:sz w:val="22"/>
                <w:szCs w:val="22"/>
                <w:lang w:eastAsia="en-GB"/>
              </w:rPr>
              <w:tab/>
            </w:r>
            <w:r w:rsidRPr="00FD3DDA">
              <w:rPr>
                <w:rStyle w:val="Hyperlink"/>
              </w:rPr>
              <w:t>Issues</w:t>
            </w:r>
            <w:r>
              <w:rPr>
                <w:webHidden/>
              </w:rPr>
              <w:tab/>
            </w:r>
            <w:r>
              <w:rPr>
                <w:webHidden/>
              </w:rPr>
              <w:fldChar w:fldCharType="begin"/>
            </w:r>
            <w:r>
              <w:rPr>
                <w:webHidden/>
              </w:rPr>
              <w:instrText xml:space="preserve"> PAGEREF _Toc535485888 \h </w:instrText>
            </w:r>
            <w:r>
              <w:rPr>
                <w:webHidden/>
              </w:rPr>
            </w:r>
            <w:r>
              <w:rPr>
                <w:webHidden/>
              </w:rPr>
              <w:fldChar w:fldCharType="separate"/>
            </w:r>
            <w:r>
              <w:rPr>
                <w:webHidden/>
              </w:rPr>
              <w:t>6</w:t>
            </w:r>
            <w:r>
              <w:rPr>
                <w:webHidden/>
              </w:rPr>
              <w:fldChar w:fldCharType="end"/>
            </w:r>
          </w:hyperlink>
        </w:p>
        <w:p w14:paraId="6092043B" w14:textId="542EBE60" w:rsidR="006A3A7A" w:rsidRDefault="006A3A7A">
          <w:pPr>
            <w:pStyle w:val="TOC1"/>
            <w:tabs>
              <w:tab w:val="left" w:pos="660"/>
            </w:tabs>
            <w:rPr>
              <w:rFonts w:asciiTheme="minorHAnsi" w:eastAsiaTheme="minorEastAsia" w:hAnsiTheme="minorHAnsi" w:cstheme="minorBidi"/>
              <w:b w:val="0"/>
              <w:color w:val="auto"/>
              <w:sz w:val="22"/>
              <w:szCs w:val="22"/>
              <w:lang w:eastAsia="en-GB"/>
            </w:rPr>
          </w:pPr>
          <w:hyperlink w:anchor="_Toc535485889" w:history="1">
            <w:r w:rsidRPr="00FD3DDA">
              <w:rPr>
                <w:rStyle w:val="Hyperlink"/>
              </w:rPr>
              <w:t>6.</w:t>
            </w:r>
            <w:r>
              <w:rPr>
                <w:rFonts w:asciiTheme="minorHAnsi" w:eastAsiaTheme="minorEastAsia" w:hAnsiTheme="minorHAnsi" w:cstheme="minorBidi"/>
                <w:b w:val="0"/>
                <w:color w:val="auto"/>
                <w:sz w:val="22"/>
                <w:szCs w:val="22"/>
                <w:lang w:eastAsia="en-GB"/>
              </w:rPr>
              <w:tab/>
            </w:r>
            <w:r w:rsidRPr="00FD3DDA">
              <w:rPr>
                <w:rStyle w:val="Hyperlink"/>
              </w:rPr>
              <w:t>Next steps</w:t>
            </w:r>
            <w:r>
              <w:rPr>
                <w:webHidden/>
              </w:rPr>
              <w:tab/>
            </w:r>
            <w:r>
              <w:rPr>
                <w:webHidden/>
              </w:rPr>
              <w:fldChar w:fldCharType="begin"/>
            </w:r>
            <w:r>
              <w:rPr>
                <w:webHidden/>
              </w:rPr>
              <w:instrText xml:space="preserve"> PAGEREF _Toc535485889 \h </w:instrText>
            </w:r>
            <w:r>
              <w:rPr>
                <w:webHidden/>
              </w:rPr>
            </w:r>
            <w:r>
              <w:rPr>
                <w:webHidden/>
              </w:rPr>
              <w:fldChar w:fldCharType="separate"/>
            </w:r>
            <w:r>
              <w:rPr>
                <w:webHidden/>
              </w:rPr>
              <w:t>6</w:t>
            </w:r>
            <w:r>
              <w:rPr>
                <w:webHidden/>
              </w:rPr>
              <w:fldChar w:fldCharType="end"/>
            </w:r>
          </w:hyperlink>
        </w:p>
        <w:p w14:paraId="3EE58EE7" w14:textId="656894CE" w:rsidR="006A3A7A" w:rsidRDefault="00905DA0">
          <w:pPr>
            <w:rPr>
              <w:b/>
              <w:bCs/>
              <w:noProof/>
            </w:rPr>
          </w:pPr>
          <w:r>
            <w:rPr>
              <w:b/>
              <w:bCs/>
              <w:noProof/>
            </w:rPr>
            <w:fldChar w:fldCharType="end"/>
          </w:r>
        </w:p>
        <w:p w14:paraId="569A4C56" w14:textId="77777777" w:rsidR="006A3A7A" w:rsidRDefault="006A3A7A">
          <w:pPr>
            <w:spacing w:after="0"/>
            <w:textboxTightWrap w:val="none"/>
            <w:rPr>
              <w:b/>
              <w:bCs/>
              <w:noProof/>
            </w:rPr>
          </w:pPr>
          <w:r>
            <w:rPr>
              <w:b/>
              <w:bCs/>
              <w:noProof/>
            </w:rPr>
            <w:br w:type="page"/>
          </w:r>
        </w:p>
        <w:p w14:paraId="5B7D36C9" w14:textId="07A81780" w:rsidR="00905DA0" w:rsidRDefault="00861E0B">
          <w:pPr>
            <w:rPr>
              <w:noProof/>
            </w:rPr>
          </w:pPr>
        </w:p>
      </w:sdtContent>
    </w:sdt>
    <w:p w14:paraId="26E88DA9" w14:textId="50C61755" w:rsidR="00ED6141" w:rsidRDefault="00ED6141"/>
    <w:p w14:paraId="245341AB" w14:textId="77777777" w:rsidR="007C527F" w:rsidRPr="00485E82" w:rsidRDefault="007C527F" w:rsidP="007C527F">
      <w:pPr>
        <w:pStyle w:val="Heading1"/>
        <w:numPr>
          <w:ilvl w:val="0"/>
          <w:numId w:val="9"/>
        </w:numPr>
        <w:spacing w:after="0"/>
        <w:rPr>
          <w:sz w:val="36"/>
          <w:szCs w:val="36"/>
        </w:rPr>
      </w:pPr>
      <w:bookmarkStart w:id="4" w:name="_Toc535485422"/>
      <w:bookmarkStart w:id="5" w:name="_Toc535485881"/>
      <w:r w:rsidRPr="00485E82">
        <w:rPr>
          <w:sz w:val="36"/>
          <w:szCs w:val="36"/>
        </w:rPr>
        <w:t>Introduction</w:t>
      </w:r>
      <w:bookmarkEnd w:id="4"/>
      <w:bookmarkEnd w:id="5"/>
    </w:p>
    <w:p w14:paraId="290B0069" w14:textId="77777777" w:rsidR="007C527F" w:rsidRPr="00FA05F9" w:rsidRDefault="007C527F" w:rsidP="007C527F">
      <w:pPr>
        <w:pStyle w:val="ListParagraph"/>
        <w:ind w:left="360" w:firstLine="0"/>
        <w:rPr>
          <w:lang w:eastAsia="en-GB"/>
        </w:rPr>
      </w:pPr>
      <w:r w:rsidRPr="00FA05F9">
        <w:rPr>
          <w:rFonts w:cs="Arial"/>
          <w:color w:val="333333"/>
          <w:lang w:val="en"/>
        </w:rPr>
        <w:t xml:space="preserve">As part of </w:t>
      </w:r>
      <w:r w:rsidRPr="00FA05F9">
        <w:t xml:space="preserve">Imperial College Healthcare NHS Trust and Chelsea and Westminster Hospital NHS Foundation </w:t>
      </w:r>
      <w:proofErr w:type="gramStart"/>
      <w:r w:rsidRPr="00FA05F9">
        <w:t>Trust’s  jointly</w:t>
      </w:r>
      <w:proofErr w:type="gramEnd"/>
      <w:r w:rsidRPr="00FA05F9">
        <w:t xml:space="preserve"> developed Global Digital Exemplar (GDE) Programme, a number of key projects / programmes of work have been planned to deliver digital transformation.  One of these projects is the rollout of continuous electronic foetal monitoring</w:t>
      </w:r>
      <w:r w:rsidRPr="00FA05F9">
        <w:rPr>
          <w:rStyle w:val="FootnoteReference"/>
        </w:rPr>
        <w:footnoteReference w:id="1"/>
      </w:r>
      <w:r w:rsidRPr="00FA05F9">
        <w:t xml:space="preserve">  which is fully integrated into the Electronic patient record.   As part of our support to assist trusts with their benefit management responsibilities, a baselining exercise followed by a post implementation review of the benefits was undertaken at Queen Charlotte’s labour ward</w:t>
      </w:r>
      <w:r w:rsidRPr="00FA05F9">
        <w:rPr>
          <w:rFonts w:cs="Arial"/>
        </w:rPr>
        <w:t xml:space="preserve"> to assure and </w:t>
      </w:r>
      <w:r>
        <w:rPr>
          <w:rFonts w:cs="Arial"/>
        </w:rPr>
        <w:t>verif</w:t>
      </w:r>
      <w:r w:rsidRPr="00FA05F9">
        <w:rPr>
          <w:rFonts w:cs="Arial"/>
        </w:rPr>
        <w:t xml:space="preserve">y the benefits claimed from the implementation of </w:t>
      </w:r>
      <w:proofErr w:type="spellStart"/>
      <w:r w:rsidRPr="00FA05F9">
        <w:rPr>
          <w:rFonts w:cs="Arial"/>
        </w:rPr>
        <w:t>fetalink</w:t>
      </w:r>
      <w:proofErr w:type="spellEnd"/>
      <w:r w:rsidRPr="00FA05F9">
        <w:rPr>
          <w:rFonts w:cs="Arial"/>
        </w:rPr>
        <w:t xml:space="preserve">.  </w:t>
      </w:r>
      <w:r w:rsidRPr="00FA05F9">
        <w:rPr>
          <w:lang w:eastAsia="en-GB"/>
        </w:rPr>
        <w:t xml:space="preserve">A baselining exercise was undertaken </w:t>
      </w:r>
      <w:proofErr w:type="gramStart"/>
      <w:r w:rsidRPr="00FA05F9">
        <w:rPr>
          <w:lang w:eastAsia="en-GB"/>
        </w:rPr>
        <w:t>pre deployment</w:t>
      </w:r>
      <w:proofErr w:type="gramEnd"/>
      <w:r w:rsidRPr="00FA05F9">
        <w:rPr>
          <w:lang w:eastAsia="en-GB"/>
        </w:rPr>
        <w:t xml:space="preserve"> in May 2017, and a subsequent post deployment comparison in November 2018.  </w:t>
      </w:r>
      <w:r w:rsidRPr="00FA05F9">
        <w:rPr>
          <w:rFonts w:cs="Arial"/>
        </w:rPr>
        <w:t xml:space="preserve">We have compared the </w:t>
      </w:r>
      <w:proofErr w:type="gramStart"/>
      <w:r w:rsidRPr="00FA05F9">
        <w:rPr>
          <w:lang w:eastAsia="en-GB"/>
        </w:rPr>
        <w:t>pre go</w:t>
      </w:r>
      <w:proofErr w:type="gramEnd"/>
      <w:r w:rsidRPr="00FA05F9">
        <w:rPr>
          <w:lang w:eastAsia="en-GB"/>
        </w:rPr>
        <w:t xml:space="preserve">-live working practices with the post go-live measurements, and observed and interviewed staff to ascertain the benefits being realised. </w:t>
      </w:r>
    </w:p>
    <w:p w14:paraId="261B73F8" w14:textId="77777777" w:rsidR="007C527F" w:rsidRPr="003243A6" w:rsidRDefault="007C527F" w:rsidP="007C527F">
      <w:pPr>
        <w:pStyle w:val="Heading1"/>
        <w:numPr>
          <w:ilvl w:val="0"/>
          <w:numId w:val="9"/>
        </w:numPr>
        <w:spacing w:after="0"/>
        <w:rPr>
          <w:sz w:val="36"/>
          <w:szCs w:val="36"/>
          <w:lang w:eastAsia="en-GB"/>
        </w:rPr>
      </w:pPr>
      <w:bookmarkStart w:id="6" w:name="_Toc535485423"/>
      <w:bookmarkStart w:id="7" w:name="_Toc535485882"/>
      <w:r w:rsidRPr="003243A6">
        <w:rPr>
          <w:sz w:val="36"/>
          <w:szCs w:val="36"/>
          <w:lang w:eastAsia="en-GB"/>
        </w:rPr>
        <w:t>Background</w:t>
      </w:r>
      <w:bookmarkEnd w:id="6"/>
      <w:bookmarkEnd w:id="7"/>
    </w:p>
    <w:p w14:paraId="063CB0F0" w14:textId="77777777" w:rsidR="007C527F" w:rsidRPr="007550CC" w:rsidRDefault="007C527F" w:rsidP="007C527F">
      <w:pPr>
        <w:pStyle w:val="ListParagraph"/>
        <w:ind w:left="360" w:firstLine="0"/>
        <w:rPr>
          <w:rFonts w:cs="Arial"/>
        </w:rPr>
      </w:pPr>
      <w:r w:rsidRPr="007550CC">
        <w:rPr>
          <w:rFonts w:cs="Arial"/>
        </w:rPr>
        <w:t xml:space="preserve">The trust </w:t>
      </w:r>
      <w:r>
        <w:rPr>
          <w:rFonts w:cs="Arial"/>
        </w:rPr>
        <w:t xml:space="preserve">has rolled out </w:t>
      </w:r>
      <w:proofErr w:type="spellStart"/>
      <w:r w:rsidRPr="007550CC">
        <w:rPr>
          <w:rFonts w:cs="Arial"/>
        </w:rPr>
        <w:t>FetaLink</w:t>
      </w:r>
      <w:proofErr w:type="spellEnd"/>
      <w:r w:rsidRPr="007550CC">
        <w:rPr>
          <w:rFonts w:cs="Arial"/>
        </w:rPr>
        <w:t xml:space="preserve">, which is part of Cerner’s </w:t>
      </w:r>
      <w:proofErr w:type="spellStart"/>
      <w:r w:rsidRPr="007550CC">
        <w:rPr>
          <w:rFonts w:cs="Arial"/>
        </w:rPr>
        <w:t>PowerChart</w:t>
      </w:r>
      <w:proofErr w:type="spellEnd"/>
      <w:r w:rsidRPr="007550CC">
        <w:rPr>
          <w:rFonts w:cs="Arial"/>
        </w:rPr>
        <w:t xml:space="preserve"> Maternity functionality and compatible with the trusts current EPR system.  </w:t>
      </w:r>
      <w:proofErr w:type="spellStart"/>
      <w:r w:rsidRPr="007550CC">
        <w:rPr>
          <w:rFonts w:cs="Arial"/>
        </w:rPr>
        <w:t>FetaLink</w:t>
      </w:r>
      <w:proofErr w:type="spellEnd"/>
      <w:r w:rsidRPr="007550CC">
        <w:rPr>
          <w:rFonts w:cs="Arial"/>
        </w:rPr>
        <w:t xml:space="preserve"> is a maternal and </w:t>
      </w:r>
      <w:proofErr w:type="spellStart"/>
      <w:r w:rsidRPr="007550CC">
        <w:rPr>
          <w:rFonts w:cs="Arial"/>
        </w:rPr>
        <w:t>fetal</w:t>
      </w:r>
      <w:proofErr w:type="spellEnd"/>
      <w:r w:rsidRPr="007550CC">
        <w:rPr>
          <w:rFonts w:cs="Arial"/>
        </w:rPr>
        <w:t xml:space="preserve"> monitoring system that enables digital transmission from the CTG monitors into the electronic patient record in real time and gives graphical display of the relationship between </w:t>
      </w:r>
      <w:proofErr w:type="spellStart"/>
      <w:r w:rsidRPr="007550CC">
        <w:rPr>
          <w:rFonts w:cs="Arial"/>
        </w:rPr>
        <w:t>fetal</w:t>
      </w:r>
      <w:proofErr w:type="spellEnd"/>
      <w:r w:rsidRPr="007550CC">
        <w:rPr>
          <w:rFonts w:cs="Arial"/>
        </w:rPr>
        <w:t xml:space="preserve"> heart rate and the mother’s contractions which can be monitored remotely</w:t>
      </w:r>
    </w:p>
    <w:p w14:paraId="615C915F" w14:textId="77777777" w:rsidR="007C527F" w:rsidRDefault="007C527F" w:rsidP="007C527F">
      <w:pPr>
        <w:pStyle w:val="ListParagraph"/>
        <w:ind w:left="360" w:firstLine="0"/>
        <w:rPr>
          <w:rFonts w:cstheme="minorHAnsi"/>
        </w:rPr>
      </w:pPr>
      <w:r w:rsidRPr="007550CC">
        <w:rPr>
          <w:rFonts w:cs="Arial"/>
        </w:rPr>
        <w:t xml:space="preserve">The roll out of </w:t>
      </w:r>
      <w:proofErr w:type="spellStart"/>
      <w:r w:rsidRPr="007550CC">
        <w:rPr>
          <w:rFonts w:cs="Arial"/>
        </w:rPr>
        <w:t>FetaLink</w:t>
      </w:r>
      <w:proofErr w:type="spellEnd"/>
      <w:r w:rsidRPr="007550CC">
        <w:rPr>
          <w:rFonts w:cs="Arial"/>
        </w:rPr>
        <w:t xml:space="preserve"> across the trust was staged across multiple phases.  Initially, </w:t>
      </w:r>
      <w:proofErr w:type="spellStart"/>
      <w:r w:rsidRPr="007550CC">
        <w:rPr>
          <w:rFonts w:cs="Arial"/>
        </w:rPr>
        <w:t>FetaLink</w:t>
      </w:r>
      <w:proofErr w:type="spellEnd"/>
      <w:r w:rsidRPr="007550CC">
        <w:rPr>
          <w:rFonts w:cs="Arial"/>
        </w:rPr>
        <w:t xml:space="preserve"> was deployed on the labour wards of both Queen Charlotte’s and St Mary’s hospitals in June 2017.  The deployment was staggered</w:t>
      </w:r>
      <w:r>
        <w:rPr>
          <w:rFonts w:cstheme="minorHAnsi"/>
        </w:rPr>
        <w:t xml:space="preserve"> with one site going live a few days in advance of the other. </w:t>
      </w:r>
    </w:p>
    <w:p w14:paraId="3741CD78" w14:textId="77777777" w:rsidR="007C527F" w:rsidRPr="00CB18B3" w:rsidRDefault="007C527F" w:rsidP="007C527F">
      <w:pPr>
        <w:pStyle w:val="ListParagraph"/>
        <w:ind w:left="360" w:firstLine="0"/>
        <w:rPr>
          <w:rFonts w:cs="Arial"/>
        </w:rPr>
      </w:pPr>
      <w:r w:rsidRPr="00CB18B3">
        <w:rPr>
          <w:rFonts w:cs="Arial"/>
        </w:rPr>
        <w:t xml:space="preserve">The paper CTG has been kept as a </w:t>
      </w:r>
      <w:proofErr w:type="spellStart"/>
      <w:r w:rsidRPr="00CB18B3">
        <w:rPr>
          <w:rFonts w:cs="Arial"/>
        </w:rPr>
        <w:t>back up</w:t>
      </w:r>
      <w:proofErr w:type="spellEnd"/>
      <w:r w:rsidRPr="00CB18B3">
        <w:rPr>
          <w:rFonts w:cs="Arial"/>
        </w:rPr>
        <w:t xml:space="preserve"> so that it is always available for downtime and is still the “legal copy”.  The Trust has decided to keep the paper CTG in place until 6 months of continuous </w:t>
      </w:r>
      <w:proofErr w:type="spellStart"/>
      <w:r w:rsidRPr="00CB18B3">
        <w:rPr>
          <w:rFonts w:cs="Arial"/>
        </w:rPr>
        <w:t>fetalink</w:t>
      </w:r>
      <w:proofErr w:type="spellEnd"/>
      <w:r w:rsidRPr="00CB18B3">
        <w:rPr>
          <w:rFonts w:cs="Arial"/>
        </w:rPr>
        <w:t xml:space="preserve"> has passed with no downtime.</w:t>
      </w:r>
    </w:p>
    <w:p w14:paraId="727433E8" w14:textId="77777777" w:rsidR="007C527F" w:rsidRDefault="007C527F" w:rsidP="007C527F">
      <w:pPr>
        <w:pStyle w:val="Heading1"/>
        <w:numPr>
          <w:ilvl w:val="0"/>
          <w:numId w:val="9"/>
        </w:numPr>
        <w:spacing w:after="0"/>
        <w:rPr>
          <w:sz w:val="36"/>
          <w:szCs w:val="36"/>
          <w:lang w:eastAsia="en-GB"/>
        </w:rPr>
      </w:pPr>
      <w:bookmarkStart w:id="8" w:name="_Toc535485424"/>
      <w:bookmarkStart w:id="9" w:name="_Toc535485883"/>
      <w:r>
        <w:rPr>
          <w:sz w:val="36"/>
          <w:szCs w:val="36"/>
          <w:lang w:eastAsia="en-GB"/>
        </w:rPr>
        <w:t>Project objectives</w:t>
      </w:r>
      <w:bookmarkEnd w:id="8"/>
      <w:bookmarkEnd w:id="9"/>
      <w:r>
        <w:rPr>
          <w:sz w:val="36"/>
          <w:szCs w:val="36"/>
          <w:lang w:eastAsia="en-GB"/>
        </w:rPr>
        <w:t xml:space="preserve"> </w:t>
      </w:r>
    </w:p>
    <w:p w14:paraId="6EF837C6" w14:textId="77777777" w:rsidR="007C527F" w:rsidRPr="00E45CEB" w:rsidRDefault="007C527F" w:rsidP="007C527F">
      <w:pPr>
        <w:pStyle w:val="ListParagraph"/>
        <w:ind w:left="360" w:firstLine="0"/>
        <w:rPr>
          <w:rFonts w:cs="Arial"/>
        </w:rPr>
      </w:pPr>
      <w:r w:rsidRPr="000E1E1F">
        <w:rPr>
          <w:rFonts w:cs="Arial"/>
        </w:rPr>
        <w:t xml:space="preserve">The cardiotocograph (CTC) readings of the contractions and </w:t>
      </w:r>
      <w:proofErr w:type="spellStart"/>
      <w:r w:rsidRPr="000E1E1F">
        <w:rPr>
          <w:rFonts w:cs="Arial"/>
        </w:rPr>
        <w:t>fetal</w:t>
      </w:r>
      <w:proofErr w:type="spellEnd"/>
      <w:r w:rsidRPr="000E1E1F">
        <w:rPr>
          <w:rFonts w:cs="Arial"/>
        </w:rPr>
        <w:t xml:space="preserve"> heart beat were previously printed on a continuous </w:t>
      </w:r>
      <w:proofErr w:type="spellStart"/>
      <w:r w:rsidRPr="000E1E1F">
        <w:rPr>
          <w:rFonts w:cs="Arial"/>
        </w:rPr>
        <w:t>fetal</w:t>
      </w:r>
      <w:proofErr w:type="spellEnd"/>
      <w:r w:rsidRPr="000E1E1F">
        <w:rPr>
          <w:rFonts w:cs="Arial"/>
        </w:rPr>
        <w:t xml:space="preserve"> strip which the midwifes would annotate with clinical information and observations.  During the labour the midwifes interpreted the CTGs to make critical decisions about the management of labour.  </w:t>
      </w:r>
      <w:r>
        <w:rPr>
          <w:rFonts w:cs="Arial"/>
        </w:rPr>
        <w:t xml:space="preserve">An hourly check via a </w:t>
      </w:r>
      <w:r w:rsidRPr="000E1E1F">
        <w:rPr>
          <w:rFonts w:cs="Arial"/>
        </w:rPr>
        <w:t>buddy system</w:t>
      </w:r>
      <w:r>
        <w:rPr>
          <w:rFonts w:cs="Arial"/>
        </w:rPr>
        <w:t xml:space="preserve"> was also in place </w:t>
      </w:r>
      <w:r w:rsidRPr="000E1E1F">
        <w:rPr>
          <w:rFonts w:cs="Arial"/>
        </w:rPr>
        <w:t xml:space="preserve">to limit the risk of misinterpretation of CTG readings </w:t>
      </w:r>
      <w:r>
        <w:rPr>
          <w:rFonts w:cs="Arial"/>
        </w:rPr>
        <w:t xml:space="preserve">however there </w:t>
      </w:r>
      <w:r w:rsidRPr="000E1E1F">
        <w:rPr>
          <w:rFonts w:cs="Arial"/>
        </w:rPr>
        <w:t>was still a possibility that a CTG could be misinterpreted in the intervening time</w:t>
      </w:r>
      <w:r>
        <w:rPr>
          <w:rFonts w:cs="Arial"/>
        </w:rPr>
        <w:t xml:space="preserve">. </w:t>
      </w:r>
      <w:r w:rsidRPr="000E1E1F">
        <w:rPr>
          <w:rFonts w:cs="Arial"/>
        </w:rPr>
        <w:t xml:space="preserve"> Over a </w:t>
      </w:r>
      <w:proofErr w:type="gramStart"/>
      <w:r w:rsidRPr="000E1E1F">
        <w:rPr>
          <w:rFonts w:cs="Arial"/>
        </w:rPr>
        <w:t>5 year</w:t>
      </w:r>
      <w:proofErr w:type="gramEnd"/>
      <w:r w:rsidRPr="000E1E1F">
        <w:rPr>
          <w:rFonts w:cs="Arial"/>
        </w:rPr>
        <w:t xml:space="preserve"> period the trust had four cases </w:t>
      </w:r>
      <w:r>
        <w:rPr>
          <w:rFonts w:cs="Arial"/>
        </w:rPr>
        <w:t xml:space="preserve">brought against them </w:t>
      </w:r>
      <w:r w:rsidRPr="000E1E1F">
        <w:rPr>
          <w:rFonts w:cs="Arial"/>
        </w:rPr>
        <w:t>were poor interpretation of CTG had been</w:t>
      </w:r>
      <w:r>
        <w:rPr>
          <w:rFonts w:cs="Arial"/>
        </w:rPr>
        <w:t xml:space="preserve"> a factor</w:t>
      </w:r>
      <w:r w:rsidRPr="000E1E1F">
        <w:rPr>
          <w:rFonts w:cs="Arial"/>
        </w:rPr>
        <w:t xml:space="preserve">.  </w:t>
      </w:r>
    </w:p>
    <w:p w14:paraId="4380A7BB" w14:textId="77777777" w:rsidR="007C527F" w:rsidRPr="00FE5DAE" w:rsidRDefault="007C527F" w:rsidP="007C527F">
      <w:pPr>
        <w:pStyle w:val="ListParagraph"/>
        <w:ind w:left="360" w:firstLine="0"/>
        <w:rPr>
          <w:rFonts w:cs="Arial"/>
          <w:i/>
        </w:rPr>
      </w:pPr>
      <w:r w:rsidRPr="000E1E1F">
        <w:rPr>
          <w:rFonts w:cs="Arial"/>
        </w:rPr>
        <w:lastRenderedPageBreak/>
        <w:t xml:space="preserve">The paper CTG </w:t>
      </w:r>
      <w:r w:rsidRPr="00FA05F9">
        <w:rPr>
          <w:rFonts w:cs="Arial"/>
        </w:rPr>
        <w:t xml:space="preserve">readings would sometimes go missing from the patients notes and the likelihood of finding a lost CTG was highly unlikely.  </w:t>
      </w:r>
      <w:r w:rsidRPr="006068CD">
        <w:rPr>
          <w:rFonts w:cs="Arial"/>
        </w:rPr>
        <w:t xml:space="preserve">Although very few CTG related serious incidents (SIs) occur approximately 4 to 5 CTGs </w:t>
      </w:r>
      <w:proofErr w:type="gramStart"/>
      <w:r w:rsidRPr="006068CD">
        <w:rPr>
          <w:rFonts w:cs="Arial"/>
        </w:rPr>
        <w:t>have to</w:t>
      </w:r>
      <w:proofErr w:type="gramEnd"/>
      <w:r w:rsidRPr="006068CD">
        <w:rPr>
          <w:rFonts w:cs="Arial"/>
        </w:rPr>
        <w:t xml:space="preserve"> be viewed each day in relation to </w:t>
      </w:r>
      <w:proofErr w:type="spellStart"/>
      <w:r w:rsidRPr="006068CD">
        <w:rPr>
          <w:rFonts w:cs="Arial"/>
        </w:rPr>
        <w:t>Datix</w:t>
      </w:r>
      <w:proofErr w:type="spellEnd"/>
      <w:r w:rsidRPr="006068CD">
        <w:rPr>
          <w:rFonts w:cs="Arial"/>
        </w:rPr>
        <w:t xml:space="preserve"> incidences (SIs).  In instances of clinical negligence claims that related to CTG misinterpretation or failure to act on CTGs, cases cannot be defended if the CTC strip has been lost or is unlabelled.  Paper CTGs fade over time, also if a CTG was needed for training purposes or </w:t>
      </w:r>
      <w:proofErr w:type="gramStart"/>
      <w:r w:rsidRPr="006068CD">
        <w:rPr>
          <w:rFonts w:cs="Arial"/>
        </w:rPr>
        <w:t>has to</w:t>
      </w:r>
      <w:proofErr w:type="gramEnd"/>
      <w:r w:rsidRPr="006068CD">
        <w:rPr>
          <w:rFonts w:cs="Arial"/>
        </w:rPr>
        <w:t xml:space="preserve"> be reviewed as part of an investigation of a SI, staff have to spend time copying and copying and scanning the CTG.   In past CNST inspections, the maternity service achieved level 3 with compliance in 46 of the 50 criteria, however the notes spot check for continuous </w:t>
      </w:r>
      <w:proofErr w:type="spellStart"/>
      <w:r w:rsidRPr="006068CD">
        <w:rPr>
          <w:rFonts w:cs="Arial"/>
        </w:rPr>
        <w:t>fetal</w:t>
      </w:r>
      <w:proofErr w:type="spellEnd"/>
      <w:r w:rsidRPr="006068CD">
        <w:rPr>
          <w:rFonts w:cs="Arial"/>
        </w:rPr>
        <w:t xml:space="preserve"> monitoring did not demonstrate the required 75% compliance with the necessary record keeping standard.  </w:t>
      </w:r>
      <w:r w:rsidRPr="006068CD">
        <w:rPr>
          <w:rFonts w:eastAsiaTheme="minorHAnsi" w:cs="Arial"/>
        </w:rPr>
        <w:t xml:space="preserve">In order to address these issues all maternity staff needed the capability to view all CTG outputs across the labour ward so that concerning CTGs could be spotted </w:t>
      </w:r>
      <w:r w:rsidRPr="006068CD">
        <w:rPr>
          <w:rFonts w:cs="Arial"/>
        </w:rPr>
        <w:t>and acted upon sooner, as well as being able to store all CTG outputs electronically to eliminate the risk of loss or fading of paper read outs.</w:t>
      </w:r>
    </w:p>
    <w:p w14:paraId="39AF9410" w14:textId="77777777" w:rsidR="007C527F" w:rsidRDefault="007C527F" w:rsidP="007C527F">
      <w:pPr>
        <w:pStyle w:val="ListParagraph"/>
        <w:ind w:left="360" w:firstLine="0"/>
        <w:rPr>
          <w:rFonts w:cs="Arial"/>
        </w:rPr>
      </w:pPr>
      <w:r>
        <w:rPr>
          <w:rFonts w:cs="Arial"/>
        </w:rPr>
        <w:t xml:space="preserve">In 2013 a business case was approved for the purchase of </w:t>
      </w:r>
      <w:proofErr w:type="spellStart"/>
      <w:r>
        <w:rPr>
          <w:rFonts w:cs="Arial"/>
        </w:rPr>
        <w:t>Cener’s</w:t>
      </w:r>
      <w:proofErr w:type="spellEnd"/>
      <w:r>
        <w:rPr>
          <w:rFonts w:cs="Arial"/>
        </w:rPr>
        <w:t xml:space="preserve"> </w:t>
      </w:r>
      <w:proofErr w:type="spellStart"/>
      <w:r>
        <w:rPr>
          <w:rFonts w:cs="Arial"/>
        </w:rPr>
        <w:t>Fetalink</w:t>
      </w:r>
      <w:proofErr w:type="spellEnd"/>
      <w:r>
        <w:rPr>
          <w:rFonts w:cs="Arial"/>
        </w:rPr>
        <w:t xml:space="preserve"> system. </w:t>
      </w:r>
    </w:p>
    <w:p w14:paraId="1FD00F91" w14:textId="77777777" w:rsidR="007C527F" w:rsidRDefault="007C527F" w:rsidP="007C527F">
      <w:pPr>
        <w:pStyle w:val="ListParagraph"/>
        <w:ind w:left="360" w:firstLine="0"/>
        <w:rPr>
          <w:lang w:eastAsia="en-GB"/>
        </w:rPr>
      </w:pPr>
      <w:r>
        <w:rPr>
          <w:lang w:eastAsia="en-GB"/>
        </w:rPr>
        <w:t>The benefits identified in the original business case where as follows:</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878"/>
        <w:gridCol w:w="1190"/>
        <w:gridCol w:w="1307"/>
        <w:gridCol w:w="1714"/>
      </w:tblGrid>
      <w:tr w:rsidR="007C527F" w:rsidRPr="00FB735F" w14:paraId="4178974F" w14:textId="77777777" w:rsidTr="004A49C1">
        <w:tc>
          <w:tcPr>
            <w:tcW w:w="2274" w:type="dxa"/>
            <w:shd w:val="clear" w:color="auto" w:fill="005EB8" w:themeFill="accent1"/>
          </w:tcPr>
          <w:p w14:paraId="0BF1FAC8" w14:textId="77777777" w:rsidR="007C527F" w:rsidRDefault="007C527F" w:rsidP="004A49C1">
            <w:pPr>
              <w:pStyle w:val="P-Text"/>
              <w:spacing w:before="0"/>
              <w:ind w:left="0"/>
              <w:rPr>
                <w:rFonts w:ascii="Arial" w:hAnsi="Arial"/>
                <w:b/>
                <w:color w:val="FFFFFF" w:themeColor="background1"/>
                <w:sz w:val="18"/>
              </w:rPr>
            </w:pPr>
          </w:p>
          <w:p w14:paraId="5D2E7A9C" w14:textId="77777777" w:rsidR="007C527F" w:rsidRPr="00E665E4" w:rsidRDefault="007C527F" w:rsidP="004A49C1">
            <w:pPr>
              <w:pStyle w:val="P-Text"/>
              <w:spacing w:before="0"/>
              <w:ind w:left="0"/>
              <w:rPr>
                <w:rFonts w:ascii="Arial" w:hAnsi="Arial"/>
                <w:b/>
                <w:color w:val="FFFFFF" w:themeColor="background1"/>
                <w:sz w:val="18"/>
              </w:rPr>
            </w:pPr>
            <w:r w:rsidRPr="00E665E4">
              <w:rPr>
                <w:rFonts w:ascii="Arial" w:hAnsi="Arial"/>
                <w:b/>
                <w:color w:val="FFFFFF" w:themeColor="background1"/>
                <w:sz w:val="18"/>
              </w:rPr>
              <w:t>KPI description</w:t>
            </w:r>
          </w:p>
        </w:tc>
        <w:tc>
          <w:tcPr>
            <w:tcW w:w="1878" w:type="dxa"/>
            <w:shd w:val="clear" w:color="auto" w:fill="005EB8" w:themeFill="accent1"/>
          </w:tcPr>
          <w:p w14:paraId="5B22961A" w14:textId="77777777" w:rsidR="007C527F" w:rsidRDefault="007C527F" w:rsidP="004A49C1">
            <w:pPr>
              <w:pStyle w:val="P-Text"/>
              <w:spacing w:before="0"/>
              <w:ind w:left="0"/>
              <w:rPr>
                <w:rFonts w:ascii="Arial" w:hAnsi="Arial"/>
                <w:b/>
                <w:color w:val="FFFFFF" w:themeColor="background1"/>
                <w:sz w:val="18"/>
              </w:rPr>
            </w:pPr>
          </w:p>
          <w:p w14:paraId="58E53EB5" w14:textId="77777777" w:rsidR="007C527F" w:rsidRPr="00E665E4" w:rsidRDefault="007C527F" w:rsidP="004A49C1">
            <w:pPr>
              <w:pStyle w:val="P-Text"/>
              <w:spacing w:before="0"/>
              <w:ind w:left="0"/>
              <w:rPr>
                <w:rFonts w:ascii="Arial" w:hAnsi="Arial"/>
                <w:b/>
                <w:color w:val="FFFFFF" w:themeColor="background1"/>
                <w:sz w:val="18"/>
              </w:rPr>
            </w:pPr>
            <w:r w:rsidRPr="00E665E4">
              <w:rPr>
                <w:rFonts w:ascii="Arial" w:hAnsi="Arial"/>
                <w:b/>
                <w:color w:val="FFFFFF" w:themeColor="background1"/>
                <w:sz w:val="18"/>
              </w:rPr>
              <w:t>Measurement</w:t>
            </w:r>
          </w:p>
        </w:tc>
        <w:tc>
          <w:tcPr>
            <w:tcW w:w="1190" w:type="dxa"/>
            <w:shd w:val="clear" w:color="auto" w:fill="005EB8" w:themeFill="accent1"/>
          </w:tcPr>
          <w:p w14:paraId="6DA388BB" w14:textId="77777777" w:rsidR="007C527F" w:rsidRDefault="007C527F" w:rsidP="004A49C1">
            <w:pPr>
              <w:pStyle w:val="P-Text"/>
              <w:spacing w:before="0"/>
              <w:ind w:left="0"/>
              <w:rPr>
                <w:rFonts w:ascii="Arial" w:hAnsi="Arial"/>
                <w:b/>
                <w:color w:val="FFFFFF" w:themeColor="background1"/>
                <w:sz w:val="18"/>
              </w:rPr>
            </w:pPr>
          </w:p>
          <w:p w14:paraId="35C16C1D" w14:textId="77777777" w:rsidR="007C527F" w:rsidRPr="00E665E4" w:rsidRDefault="007C527F" w:rsidP="004A49C1">
            <w:pPr>
              <w:pStyle w:val="P-Text"/>
              <w:spacing w:before="0"/>
              <w:ind w:left="0"/>
              <w:rPr>
                <w:rFonts w:ascii="Arial" w:hAnsi="Arial"/>
                <w:b/>
                <w:color w:val="FFFFFF" w:themeColor="background1"/>
                <w:sz w:val="18"/>
              </w:rPr>
            </w:pPr>
            <w:r w:rsidRPr="00E665E4">
              <w:rPr>
                <w:rFonts w:ascii="Arial" w:hAnsi="Arial"/>
                <w:b/>
                <w:color w:val="FFFFFF" w:themeColor="background1"/>
                <w:sz w:val="18"/>
              </w:rPr>
              <w:t xml:space="preserve">Target </w:t>
            </w:r>
          </w:p>
        </w:tc>
        <w:tc>
          <w:tcPr>
            <w:tcW w:w="1307" w:type="dxa"/>
            <w:shd w:val="clear" w:color="auto" w:fill="005EB8" w:themeFill="accent1"/>
          </w:tcPr>
          <w:p w14:paraId="585D69E1" w14:textId="77777777" w:rsidR="007C527F" w:rsidRPr="00E665E4" w:rsidRDefault="007C527F" w:rsidP="004A49C1">
            <w:pPr>
              <w:pStyle w:val="P-Text"/>
              <w:spacing w:before="0"/>
              <w:ind w:left="0"/>
              <w:rPr>
                <w:rFonts w:ascii="Arial" w:hAnsi="Arial"/>
                <w:b/>
                <w:color w:val="FFFFFF" w:themeColor="background1"/>
                <w:sz w:val="18"/>
              </w:rPr>
            </w:pPr>
            <w:r w:rsidRPr="00E665E4">
              <w:rPr>
                <w:rFonts w:ascii="Arial" w:hAnsi="Arial"/>
                <w:b/>
                <w:color w:val="FFFFFF" w:themeColor="background1"/>
                <w:sz w:val="18"/>
              </w:rPr>
              <w:t>Projected achievement date</w:t>
            </w:r>
          </w:p>
        </w:tc>
        <w:tc>
          <w:tcPr>
            <w:tcW w:w="1714" w:type="dxa"/>
            <w:shd w:val="clear" w:color="auto" w:fill="005EB8" w:themeFill="accent1"/>
          </w:tcPr>
          <w:p w14:paraId="12B3B24F" w14:textId="77777777" w:rsidR="007C527F" w:rsidRDefault="007C527F" w:rsidP="004A49C1">
            <w:pPr>
              <w:pStyle w:val="P-Text"/>
              <w:spacing w:before="0"/>
              <w:ind w:left="0"/>
              <w:rPr>
                <w:rFonts w:ascii="Arial" w:hAnsi="Arial"/>
                <w:b/>
                <w:color w:val="FFFFFF" w:themeColor="background1"/>
                <w:sz w:val="18"/>
              </w:rPr>
            </w:pPr>
          </w:p>
          <w:p w14:paraId="12CC44D0" w14:textId="77777777" w:rsidR="007C527F" w:rsidRPr="00E665E4" w:rsidRDefault="007C527F" w:rsidP="004A49C1">
            <w:pPr>
              <w:pStyle w:val="P-Text"/>
              <w:spacing w:before="0"/>
              <w:ind w:left="0"/>
              <w:rPr>
                <w:rFonts w:ascii="Arial" w:hAnsi="Arial"/>
                <w:b/>
                <w:color w:val="FFFFFF" w:themeColor="background1"/>
                <w:sz w:val="18"/>
              </w:rPr>
            </w:pPr>
            <w:r w:rsidRPr="00E665E4">
              <w:rPr>
                <w:rFonts w:ascii="Arial" w:hAnsi="Arial"/>
                <w:b/>
                <w:color w:val="FFFFFF" w:themeColor="background1"/>
                <w:sz w:val="18"/>
              </w:rPr>
              <w:t>Owner</w:t>
            </w:r>
          </w:p>
        </w:tc>
      </w:tr>
      <w:tr w:rsidR="007C527F" w:rsidRPr="00FB735F" w14:paraId="4BE24D07" w14:textId="77777777" w:rsidTr="004A49C1">
        <w:tc>
          <w:tcPr>
            <w:tcW w:w="2274" w:type="dxa"/>
          </w:tcPr>
          <w:p w14:paraId="4A5190EF" w14:textId="77777777" w:rsidR="007C527F" w:rsidRPr="00287AAB" w:rsidRDefault="007C527F" w:rsidP="004A49C1">
            <w:pPr>
              <w:pStyle w:val="P-Text"/>
              <w:spacing w:before="0"/>
              <w:ind w:left="0"/>
              <w:rPr>
                <w:rFonts w:ascii="Arial" w:hAnsi="Arial"/>
                <w:sz w:val="18"/>
              </w:rPr>
            </w:pPr>
            <w:r>
              <w:rPr>
                <w:rFonts w:ascii="Arial" w:hAnsi="Arial"/>
                <w:sz w:val="18"/>
              </w:rPr>
              <w:t>Reduction in the number of incidents relating to CTG misinterpretation</w:t>
            </w:r>
          </w:p>
        </w:tc>
        <w:tc>
          <w:tcPr>
            <w:tcW w:w="1878" w:type="dxa"/>
          </w:tcPr>
          <w:p w14:paraId="3631F57E" w14:textId="77777777" w:rsidR="007C527F" w:rsidRPr="00287AAB" w:rsidRDefault="007C527F" w:rsidP="004A49C1">
            <w:pPr>
              <w:pStyle w:val="P-Text"/>
              <w:spacing w:before="0"/>
              <w:ind w:left="0"/>
              <w:rPr>
                <w:rFonts w:ascii="Arial" w:hAnsi="Arial"/>
                <w:sz w:val="18"/>
              </w:rPr>
            </w:pPr>
            <w:r>
              <w:rPr>
                <w:rFonts w:ascii="Arial" w:hAnsi="Arial"/>
                <w:sz w:val="18"/>
              </w:rPr>
              <w:t>Number of incidents of CTG misinterpretation</w:t>
            </w:r>
          </w:p>
        </w:tc>
        <w:tc>
          <w:tcPr>
            <w:tcW w:w="1190" w:type="dxa"/>
          </w:tcPr>
          <w:p w14:paraId="35A3C65B" w14:textId="77777777" w:rsidR="007C527F" w:rsidRPr="00287AAB" w:rsidRDefault="007C527F" w:rsidP="004A49C1">
            <w:pPr>
              <w:pStyle w:val="P-Text"/>
              <w:spacing w:before="0"/>
              <w:ind w:left="0"/>
              <w:rPr>
                <w:rFonts w:ascii="Arial" w:hAnsi="Arial"/>
                <w:sz w:val="18"/>
              </w:rPr>
            </w:pPr>
            <w:r>
              <w:rPr>
                <w:rFonts w:ascii="Arial" w:hAnsi="Arial"/>
                <w:sz w:val="18"/>
              </w:rPr>
              <w:t>TBC</w:t>
            </w:r>
          </w:p>
        </w:tc>
        <w:tc>
          <w:tcPr>
            <w:tcW w:w="1307" w:type="dxa"/>
          </w:tcPr>
          <w:p w14:paraId="66FD53E5" w14:textId="77777777" w:rsidR="007C527F" w:rsidRPr="00287AAB" w:rsidRDefault="007C527F" w:rsidP="004A49C1">
            <w:pPr>
              <w:pStyle w:val="P-Text"/>
              <w:spacing w:before="0"/>
              <w:ind w:left="0"/>
              <w:rPr>
                <w:rFonts w:ascii="Arial" w:hAnsi="Arial"/>
                <w:sz w:val="18"/>
              </w:rPr>
            </w:pPr>
            <w:r>
              <w:rPr>
                <w:rFonts w:ascii="Arial" w:hAnsi="Arial"/>
                <w:sz w:val="18"/>
              </w:rPr>
              <w:t>TBC</w:t>
            </w:r>
          </w:p>
        </w:tc>
        <w:tc>
          <w:tcPr>
            <w:tcW w:w="1714" w:type="dxa"/>
          </w:tcPr>
          <w:p w14:paraId="1F8852EF" w14:textId="77777777" w:rsidR="007C527F" w:rsidRPr="00287AAB" w:rsidRDefault="007C527F" w:rsidP="004A49C1">
            <w:pPr>
              <w:pStyle w:val="P-Text"/>
              <w:spacing w:before="0"/>
              <w:ind w:left="0"/>
              <w:rPr>
                <w:rFonts w:ascii="Arial" w:hAnsi="Arial"/>
                <w:sz w:val="18"/>
              </w:rPr>
            </w:pPr>
            <w:r>
              <w:rPr>
                <w:rFonts w:ascii="Arial" w:hAnsi="Arial"/>
                <w:sz w:val="18"/>
              </w:rPr>
              <w:t>TBC</w:t>
            </w:r>
          </w:p>
        </w:tc>
      </w:tr>
      <w:tr w:rsidR="007C527F" w:rsidRPr="00FB735F" w14:paraId="522B7B23" w14:textId="77777777" w:rsidTr="004A49C1">
        <w:tc>
          <w:tcPr>
            <w:tcW w:w="2274" w:type="dxa"/>
          </w:tcPr>
          <w:p w14:paraId="43B1D3D8" w14:textId="77777777" w:rsidR="007C527F" w:rsidRPr="00F02D06" w:rsidRDefault="007C527F" w:rsidP="004A49C1">
            <w:pPr>
              <w:pStyle w:val="P-Text"/>
              <w:spacing w:before="0"/>
              <w:ind w:left="0"/>
              <w:rPr>
                <w:rFonts w:ascii="Arial" w:hAnsi="Arial"/>
                <w:sz w:val="18"/>
              </w:rPr>
            </w:pPr>
            <w:r>
              <w:rPr>
                <w:rFonts w:ascii="Arial" w:hAnsi="Arial"/>
                <w:sz w:val="18"/>
              </w:rPr>
              <w:t>Reduction in the number of incidents relating to failure to act on suspicious CTGs</w:t>
            </w:r>
          </w:p>
        </w:tc>
        <w:tc>
          <w:tcPr>
            <w:tcW w:w="1878" w:type="dxa"/>
          </w:tcPr>
          <w:p w14:paraId="1818D831" w14:textId="77777777" w:rsidR="007C527F" w:rsidRPr="00F02D06" w:rsidRDefault="007C527F" w:rsidP="004A49C1">
            <w:pPr>
              <w:pStyle w:val="P-Text"/>
              <w:spacing w:before="0"/>
              <w:ind w:left="0"/>
              <w:rPr>
                <w:rFonts w:ascii="Arial" w:hAnsi="Arial"/>
                <w:sz w:val="18"/>
              </w:rPr>
            </w:pPr>
            <w:r>
              <w:rPr>
                <w:rFonts w:ascii="Arial" w:hAnsi="Arial"/>
                <w:sz w:val="18"/>
              </w:rPr>
              <w:t xml:space="preserve">Number of incidents of failure to act on suspicious CTGs </w:t>
            </w:r>
          </w:p>
        </w:tc>
        <w:tc>
          <w:tcPr>
            <w:tcW w:w="1190" w:type="dxa"/>
          </w:tcPr>
          <w:p w14:paraId="0C2A97A9" w14:textId="77777777" w:rsidR="007C527F" w:rsidRPr="00287AAB" w:rsidRDefault="007C527F" w:rsidP="004A49C1">
            <w:pPr>
              <w:pStyle w:val="P-Text"/>
              <w:spacing w:before="0"/>
              <w:ind w:left="0"/>
              <w:rPr>
                <w:rFonts w:ascii="Arial" w:hAnsi="Arial"/>
                <w:sz w:val="18"/>
              </w:rPr>
            </w:pPr>
            <w:r>
              <w:rPr>
                <w:rFonts w:ascii="Arial" w:hAnsi="Arial"/>
                <w:sz w:val="18"/>
              </w:rPr>
              <w:t>TBC</w:t>
            </w:r>
          </w:p>
        </w:tc>
        <w:tc>
          <w:tcPr>
            <w:tcW w:w="1307" w:type="dxa"/>
          </w:tcPr>
          <w:p w14:paraId="5908E949" w14:textId="77777777" w:rsidR="007C527F" w:rsidRPr="00287AAB" w:rsidRDefault="007C527F" w:rsidP="004A49C1">
            <w:pPr>
              <w:pStyle w:val="P-Text"/>
              <w:spacing w:before="0"/>
              <w:ind w:left="0"/>
              <w:rPr>
                <w:rFonts w:ascii="Arial" w:hAnsi="Arial"/>
                <w:sz w:val="18"/>
              </w:rPr>
            </w:pPr>
            <w:r>
              <w:rPr>
                <w:rFonts w:ascii="Arial" w:hAnsi="Arial"/>
                <w:sz w:val="18"/>
              </w:rPr>
              <w:t>TBC</w:t>
            </w:r>
          </w:p>
        </w:tc>
        <w:tc>
          <w:tcPr>
            <w:tcW w:w="1714" w:type="dxa"/>
          </w:tcPr>
          <w:p w14:paraId="45EA8CE1" w14:textId="77777777" w:rsidR="007C527F" w:rsidRPr="00287AAB" w:rsidRDefault="007C527F" w:rsidP="004A49C1">
            <w:pPr>
              <w:pStyle w:val="P-Text"/>
              <w:spacing w:before="0"/>
              <w:ind w:left="0"/>
              <w:rPr>
                <w:rFonts w:ascii="Arial" w:hAnsi="Arial"/>
                <w:sz w:val="18"/>
              </w:rPr>
            </w:pPr>
            <w:r>
              <w:rPr>
                <w:rFonts w:ascii="Arial" w:hAnsi="Arial"/>
                <w:sz w:val="18"/>
              </w:rPr>
              <w:t>TBC</w:t>
            </w:r>
          </w:p>
        </w:tc>
      </w:tr>
      <w:tr w:rsidR="007C527F" w:rsidRPr="00FB735F" w14:paraId="5EA8D7A7" w14:textId="77777777" w:rsidTr="004A49C1">
        <w:tc>
          <w:tcPr>
            <w:tcW w:w="2274" w:type="dxa"/>
          </w:tcPr>
          <w:p w14:paraId="691FE107" w14:textId="77777777" w:rsidR="007C527F" w:rsidRPr="00260B9D" w:rsidRDefault="007C527F" w:rsidP="004A49C1">
            <w:pPr>
              <w:pStyle w:val="P-Text"/>
              <w:spacing w:before="0"/>
              <w:ind w:left="0"/>
              <w:jc w:val="both"/>
              <w:rPr>
                <w:rFonts w:ascii="Arial" w:hAnsi="Arial"/>
                <w:sz w:val="18"/>
              </w:rPr>
            </w:pPr>
            <w:r>
              <w:rPr>
                <w:rFonts w:ascii="Arial" w:hAnsi="Arial"/>
                <w:sz w:val="18"/>
              </w:rPr>
              <w:t xml:space="preserve">Reduction in number of medico-legal cases and </w:t>
            </w:r>
            <w:proofErr w:type="spellStart"/>
            <w:r>
              <w:rPr>
                <w:rFonts w:ascii="Arial" w:hAnsi="Arial"/>
                <w:sz w:val="18"/>
              </w:rPr>
              <w:t>payouts</w:t>
            </w:r>
            <w:proofErr w:type="spellEnd"/>
            <w:r>
              <w:rPr>
                <w:rFonts w:ascii="Arial" w:hAnsi="Arial"/>
                <w:sz w:val="18"/>
              </w:rPr>
              <w:t xml:space="preserve"> relating to CTGs</w:t>
            </w:r>
          </w:p>
        </w:tc>
        <w:tc>
          <w:tcPr>
            <w:tcW w:w="1878" w:type="dxa"/>
          </w:tcPr>
          <w:p w14:paraId="0708B84A" w14:textId="77777777" w:rsidR="007C527F" w:rsidRDefault="007C527F" w:rsidP="004A49C1">
            <w:pPr>
              <w:pStyle w:val="P-Text"/>
              <w:spacing w:before="0"/>
              <w:ind w:left="0"/>
              <w:rPr>
                <w:rFonts w:ascii="Arial" w:hAnsi="Arial"/>
                <w:sz w:val="18"/>
              </w:rPr>
            </w:pPr>
            <w:r>
              <w:rPr>
                <w:rFonts w:ascii="Arial" w:hAnsi="Arial"/>
                <w:sz w:val="18"/>
              </w:rPr>
              <w:t xml:space="preserve">Number and value of medico-legal cases and </w:t>
            </w:r>
            <w:proofErr w:type="spellStart"/>
            <w:r>
              <w:rPr>
                <w:rFonts w:ascii="Arial" w:hAnsi="Arial"/>
                <w:sz w:val="18"/>
              </w:rPr>
              <w:t>payouts</w:t>
            </w:r>
            <w:proofErr w:type="spellEnd"/>
            <w:r>
              <w:rPr>
                <w:rFonts w:ascii="Arial" w:hAnsi="Arial"/>
                <w:sz w:val="18"/>
              </w:rPr>
              <w:t xml:space="preserve"> relating to CTGs</w:t>
            </w:r>
          </w:p>
        </w:tc>
        <w:tc>
          <w:tcPr>
            <w:tcW w:w="1190" w:type="dxa"/>
          </w:tcPr>
          <w:p w14:paraId="7492B430" w14:textId="77777777" w:rsidR="007C527F" w:rsidRPr="00287AAB" w:rsidRDefault="007C527F" w:rsidP="004A49C1">
            <w:pPr>
              <w:pStyle w:val="P-Text"/>
              <w:spacing w:before="0"/>
              <w:ind w:left="0"/>
              <w:rPr>
                <w:rFonts w:ascii="Arial" w:hAnsi="Arial"/>
                <w:sz w:val="18"/>
              </w:rPr>
            </w:pPr>
            <w:r>
              <w:rPr>
                <w:rFonts w:ascii="Arial" w:hAnsi="Arial"/>
                <w:sz w:val="18"/>
              </w:rPr>
              <w:t>TBC</w:t>
            </w:r>
          </w:p>
        </w:tc>
        <w:tc>
          <w:tcPr>
            <w:tcW w:w="1307" w:type="dxa"/>
          </w:tcPr>
          <w:p w14:paraId="3B179651" w14:textId="77777777" w:rsidR="007C527F" w:rsidRPr="00287AAB" w:rsidRDefault="007C527F" w:rsidP="004A49C1">
            <w:pPr>
              <w:pStyle w:val="P-Text"/>
              <w:spacing w:before="0"/>
              <w:ind w:left="0"/>
              <w:rPr>
                <w:rFonts w:ascii="Arial" w:hAnsi="Arial"/>
                <w:sz w:val="18"/>
              </w:rPr>
            </w:pPr>
            <w:r>
              <w:rPr>
                <w:rFonts w:ascii="Arial" w:hAnsi="Arial"/>
                <w:sz w:val="18"/>
              </w:rPr>
              <w:t>TBC</w:t>
            </w:r>
          </w:p>
        </w:tc>
        <w:tc>
          <w:tcPr>
            <w:tcW w:w="1714" w:type="dxa"/>
          </w:tcPr>
          <w:p w14:paraId="12EE6517" w14:textId="77777777" w:rsidR="007C527F" w:rsidRPr="00287AAB" w:rsidRDefault="007C527F" w:rsidP="004A49C1">
            <w:pPr>
              <w:pStyle w:val="P-Text"/>
              <w:spacing w:before="0"/>
              <w:ind w:left="0"/>
              <w:rPr>
                <w:rFonts w:ascii="Arial" w:hAnsi="Arial"/>
                <w:sz w:val="18"/>
              </w:rPr>
            </w:pPr>
            <w:r>
              <w:rPr>
                <w:rFonts w:ascii="Arial" w:hAnsi="Arial"/>
                <w:sz w:val="18"/>
              </w:rPr>
              <w:t>TBC</w:t>
            </w:r>
          </w:p>
        </w:tc>
      </w:tr>
      <w:tr w:rsidR="007C527F" w:rsidRPr="00FB735F" w14:paraId="29B0BEA3" w14:textId="77777777" w:rsidTr="004A49C1">
        <w:tc>
          <w:tcPr>
            <w:tcW w:w="2274" w:type="dxa"/>
          </w:tcPr>
          <w:p w14:paraId="0E6619A2" w14:textId="77777777" w:rsidR="007C527F" w:rsidRPr="00260B9D" w:rsidRDefault="007C527F" w:rsidP="004A49C1">
            <w:pPr>
              <w:pStyle w:val="P-Text"/>
              <w:spacing w:before="0"/>
              <w:ind w:left="0"/>
              <w:rPr>
                <w:rFonts w:ascii="Arial" w:hAnsi="Arial"/>
                <w:sz w:val="18"/>
              </w:rPr>
            </w:pPr>
            <w:r>
              <w:rPr>
                <w:rFonts w:ascii="Arial" w:hAnsi="Arial"/>
                <w:sz w:val="18"/>
              </w:rPr>
              <w:t>Reduction in CNST insurance premium</w:t>
            </w:r>
          </w:p>
        </w:tc>
        <w:tc>
          <w:tcPr>
            <w:tcW w:w="1878" w:type="dxa"/>
          </w:tcPr>
          <w:p w14:paraId="7DF207E8" w14:textId="77777777" w:rsidR="007C527F" w:rsidRDefault="007C527F" w:rsidP="004A49C1">
            <w:pPr>
              <w:pStyle w:val="P-Text"/>
              <w:spacing w:before="0"/>
              <w:ind w:left="0"/>
              <w:rPr>
                <w:rFonts w:ascii="Arial" w:hAnsi="Arial"/>
                <w:sz w:val="18"/>
              </w:rPr>
            </w:pPr>
            <w:r>
              <w:rPr>
                <w:rFonts w:ascii="Arial" w:hAnsi="Arial"/>
                <w:sz w:val="18"/>
              </w:rPr>
              <w:t>Cost of CNST insurance premium</w:t>
            </w:r>
          </w:p>
        </w:tc>
        <w:tc>
          <w:tcPr>
            <w:tcW w:w="1190" w:type="dxa"/>
          </w:tcPr>
          <w:p w14:paraId="492647FE" w14:textId="77777777" w:rsidR="007C527F" w:rsidRPr="00287AAB" w:rsidRDefault="007C527F" w:rsidP="004A49C1">
            <w:pPr>
              <w:pStyle w:val="P-Text"/>
              <w:spacing w:before="0"/>
              <w:ind w:left="0"/>
              <w:rPr>
                <w:rFonts w:ascii="Arial" w:hAnsi="Arial"/>
                <w:sz w:val="18"/>
              </w:rPr>
            </w:pPr>
            <w:r>
              <w:rPr>
                <w:rFonts w:ascii="Arial" w:hAnsi="Arial"/>
                <w:sz w:val="18"/>
              </w:rPr>
              <w:t>TBC</w:t>
            </w:r>
          </w:p>
        </w:tc>
        <w:tc>
          <w:tcPr>
            <w:tcW w:w="1307" w:type="dxa"/>
          </w:tcPr>
          <w:p w14:paraId="5CA4A6BA" w14:textId="77777777" w:rsidR="007C527F" w:rsidRPr="00287AAB" w:rsidRDefault="007C527F" w:rsidP="004A49C1">
            <w:pPr>
              <w:pStyle w:val="P-Text"/>
              <w:spacing w:before="0"/>
              <w:ind w:left="0"/>
              <w:rPr>
                <w:rFonts w:ascii="Arial" w:hAnsi="Arial"/>
                <w:sz w:val="18"/>
              </w:rPr>
            </w:pPr>
            <w:r>
              <w:rPr>
                <w:rFonts w:ascii="Arial" w:hAnsi="Arial"/>
                <w:sz w:val="18"/>
              </w:rPr>
              <w:t>TBC</w:t>
            </w:r>
          </w:p>
        </w:tc>
        <w:tc>
          <w:tcPr>
            <w:tcW w:w="1714" w:type="dxa"/>
          </w:tcPr>
          <w:p w14:paraId="339D040A" w14:textId="77777777" w:rsidR="007C527F" w:rsidRPr="00287AAB" w:rsidRDefault="007C527F" w:rsidP="004A49C1">
            <w:pPr>
              <w:pStyle w:val="P-Text"/>
              <w:spacing w:before="0"/>
              <w:ind w:left="0"/>
              <w:rPr>
                <w:rFonts w:ascii="Arial" w:hAnsi="Arial"/>
                <w:sz w:val="18"/>
              </w:rPr>
            </w:pPr>
            <w:r>
              <w:rPr>
                <w:rFonts w:ascii="Arial" w:hAnsi="Arial"/>
                <w:sz w:val="18"/>
              </w:rPr>
              <w:t>TBC</w:t>
            </w:r>
          </w:p>
        </w:tc>
      </w:tr>
    </w:tbl>
    <w:p w14:paraId="7C8E463B" w14:textId="77777777" w:rsidR="007C527F" w:rsidRDefault="007C527F" w:rsidP="007C527F">
      <w:pPr>
        <w:ind w:left="360"/>
        <w:rPr>
          <w:lang w:eastAsia="en-GB"/>
        </w:rPr>
      </w:pPr>
    </w:p>
    <w:p w14:paraId="79294F86" w14:textId="77777777" w:rsidR="007C527F" w:rsidRDefault="007C527F" w:rsidP="007C527F">
      <w:pPr>
        <w:ind w:left="360"/>
        <w:rPr>
          <w:lang w:eastAsia="en-GB"/>
        </w:rPr>
      </w:pPr>
      <w:r>
        <w:rPr>
          <w:lang w:eastAsia="en-GB"/>
        </w:rPr>
        <w:t>The business case stated the following Project Objectives</w:t>
      </w:r>
    </w:p>
    <w:p w14:paraId="40DCBEE4" w14:textId="77777777" w:rsidR="007C527F" w:rsidRPr="00500B40" w:rsidRDefault="007C527F" w:rsidP="007C527F">
      <w:pPr>
        <w:pStyle w:val="P-Text-No-Indent"/>
        <w:numPr>
          <w:ilvl w:val="0"/>
          <w:numId w:val="10"/>
        </w:numPr>
        <w:spacing w:before="0" w:after="0"/>
        <w:jc w:val="both"/>
        <w:rPr>
          <w:rFonts w:ascii="Arial" w:hAnsi="Arial" w:cs="Arial"/>
          <w:szCs w:val="24"/>
          <w:lang w:eastAsia="en-US"/>
        </w:rPr>
      </w:pPr>
      <w:r w:rsidRPr="00500B40">
        <w:rPr>
          <w:rFonts w:ascii="Arial" w:hAnsi="Arial" w:cs="Arial"/>
          <w:szCs w:val="24"/>
          <w:lang w:eastAsia="en-US"/>
        </w:rPr>
        <w:t>To provide real-time access to critical information about a woman’s pregnancy and the health of her baby, improving patient safety and helping clinicians make informed decisions</w:t>
      </w:r>
    </w:p>
    <w:p w14:paraId="6F940A5D" w14:textId="77777777" w:rsidR="007C527F" w:rsidRPr="00500B40" w:rsidRDefault="007C527F" w:rsidP="007C527F">
      <w:pPr>
        <w:pStyle w:val="P-Text-No-Indent"/>
        <w:numPr>
          <w:ilvl w:val="0"/>
          <w:numId w:val="10"/>
        </w:numPr>
        <w:spacing w:before="0" w:after="0"/>
        <w:jc w:val="both"/>
        <w:rPr>
          <w:rFonts w:ascii="Arial" w:hAnsi="Arial" w:cs="Arial"/>
          <w:szCs w:val="24"/>
          <w:lang w:eastAsia="en-US"/>
        </w:rPr>
      </w:pPr>
      <w:r w:rsidRPr="00500B40">
        <w:rPr>
          <w:rFonts w:ascii="Arial" w:hAnsi="Arial" w:cs="Arial"/>
          <w:szCs w:val="24"/>
          <w:lang w:eastAsia="en-US"/>
        </w:rPr>
        <w:t>To reduce the risk and incidence of CTG misinterpretation, improving the safety of maternity care</w:t>
      </w:r>
    </w:p>
    <w:p w14:paraId="1D5E9450" w14:textId="77777777" w:rsidR="007C527F" w:rsidRPr="00500B40" w:rsidRDefault="007C527F" w:rsidP="007C527F">
      <w:pPr>
        <w:pStyle w:val="P-Text-No-Indent"/>
        <w:numPr>
          <w:ilvl w:val="0"/>
          <w:numId w:val="10"/>
        </w:numPr>
        <w:spacing w:before="0" w:after="0"/>
        <w:jc w:val="both"/>
        <w:rPr>
          <w:rFonts w:ascii="Arial" w:hAnsi="Arial" w:cs="Arial"/>
          <w:szCs w:val="24"/>
          <w:lang w:eastAsia="en-US"/>
        </w:rPr>
      </w:pPr>
      <w:r w:rsidRPr="00500B40">
        <w:rPr>
          <w:rFonts w:ascii="Arial" w:hAnsi="Arial" w:cs="Arial"/>
          <w:szCs w:val="24"/>
          <w:lang w:eastAsia="en-US"/>
        </w:rPr>
        <w:t>To reduce the risk and incidence of failure to act on suspicious CTGs, improving the safety of maternity care</w:t>
      </w:r>
    </w:p>
    <w:p w14:paraId="506C84B9" w14:textId="77777777" w:rsidR="007C527F" w:rsidRPr="00500B40" w:rsidRDefault="007C527F" w:rsidP="007C527F">
      <w:pPr>
        <w:pStyle w:val="P-Text-No-Indent"/>
        <w:numPr>
          <w:ilvl w:val="0"/>
          <w:numId w:val="10"/>
        </w:numPr>
        <w:spacing w:before="0" w:after="0"/>
        <w:jc w:val="both"/>
        <w:rPr>
          <w:rFonts w:ascii="Arial" w:hAnsi="Arial" w:cs="Arial"/>
          <w:szCs w:val="24"/>
          <w:lang w:eastAsia="en-US"/>
        </w:rPr>
      </w:pPr>
      <w:r w:rsidRPr="00500B40">
        <w:rPr>
          <w:rFonts w:ascii="Arial" w:hAnsi="Arial" w:cs="Arial"/>
          <w:szCs w:val="24"/>
          <w:lang w:eastAsia="en-US"/>
        </w:rPr>
        <w:t>To reduce the number of medico-legal claims relating to CTG misinterpretation, thereby reducing the NHSLA premium</w:t>
      </w:r>
    </w:p>
    <w:p w14:paraId="6E2C87DE" w14:textId="77777777" w:rsidR="007C527F" w:rsidRPr="00500B40" w:rsidRDefault="007C527F" w:rsidP="007C527F">
      <w:pPr>
        <w:pStyle w:val="P-Text-No-Indent"/>
        <w:numPr>
          <w:ilvl w:val="0"/>
          <w:numId w:val="10"/>
        </w:numPr>
        <w:spacing w:before="0" w:after="0"/>
        <w:jc w:val="both"/>
        <w:rPr>
          <w:rFonts w:ascii="Arial" w:hAnsi="Arial" w:cs="Arial"/>
          <w:szCs w:val="24"/>
          <w:lang w:eastAsia="en-US"/>
        </w:rPr>
      </w:pPr>
      <w:r w:rsidRPr="00500B40">
        <w:rPr>
          <w:rFonts w:ascii="Arial" w:hAnsi="Arial" w:cs="Arial"/>
          <w:szCs w:val="24"/>
          <w:lang w:eastAsia="en-US"/>
        </w:rPr>
        <w:t xml:space="preserve">To improve ICHT’s ability to defend itself against medico-legal cases relating to CTG misinterpretation </w:t>
      </w:r>
    </w:p>
    <w:p w14:paraId="3D65479C" w14:textId="77777777" w:rsidR="007C527F" w:rsidRPr="00500B40" w:rsidRDefault="007C527F" w:rsidP="007C527F">
      <w:pPr>
        <w:pStyle w:val="P-Text-No-Indent"/>
        <w:numPr>
          <w:ilvl w:val="0"/>
          <w:numId w:val="10"/>
        </w:numPr>
        <w:spacing w:before="0" w:after="0"/>
        <w:jc w:val="both"/>
        <w:rPr>
          <w:rFonts w:ascii="Arial" w:hAnsi="Arial" w:cs="Arial"/>
          <w:szCs w:val="24"/>
          <w:lang w:eastAsia="en-US"/>
        </w:rPr>
      </w:pPr>
      <w:r w:rsidRPr="00500B40">
        <w:rPr>
          <w:rFonts w:ascii="Arial" w:hAnsi="Arial" w:cs="Arial"/>
          <w:szCs w:val="24"/>
          <w:lang w:eastAsia="en-US"/>
        </w:rPr>
        <w:t>To maximise midwifery and obstetric productivity</w:t>
      </w:r>
    </w:p>
    <w:p w14:paraId="7178FE2A" w14:textId="77777777" w:rsidR="007C527F" w:rsidRPr="00500B40" w:rsidRDefault="007C527F" w:rsidP="007C527F">
      <w:pPr>
        <w:pStyle w:val="P-Text-No-Indent"/>
        <w:numPr>
          <w:ilvl w:val="0"/>
          <w:numId w:val="10"/>
        </w:numPr>
        <w:spacing w:before="0" w:after="0"/>
        <w:jc w:val="both"/>
        <w:rPr>
          <w:rFonts w:ascii="Arial" w:hAnsi="Arial" w:cs="Arial"/>
          <w:szCs w:val="24"/>
          <w:lang w:eastAsia="en-US"/>
        </w:rPr>
      </w:pPr>
      <w:r w:rsidRPr="00500B40">
        <w:rPr>
          <w:rFonts w:ascii="Arial" w:hAnsi="Arial" w:cs="Arial"/>
          <w:szCs w:val="24"/>
          <w:lang w:eastAsia="en-US"/>
        </w:rPr>
        <w:t xml:space="preserve">To minimise the clinical risk of dual recording in paper notes and </w:t>
      </w:r>
      <w:proofErr w:type="spellStart"/>
      <w:r w:rsidRPr="00500B40">
        <w:rPr>
          <w:rFonts w:ascii="Arial" w:hAnsi="Arial" w:cs="Arial"/>
          <w:szCs w:val="24"/>
          <w:lang w:eastAsia="en-US"/>
        </w:rPr>
        <w:t>PowerChart</w:t>
      </w:r>
      <w:proofErr w:type="spellEnd"/>
      <w:r w:rsidRPr="00500B40">
        <w:rPr>
          <w:rFonts w:ascii="Arial" w:hAnsi="Arial" w:cs="Arial"/>
          <w:szCs w:val="24"/>
          <w:lang w:eastAsia="en-US"/>
        </w:rPr>
        <w:t xml:space="preserve"> Maternity on go-live</w:t>
      </w:r>
    </w:p>
    <w:p w14:paraId="49BB90EF" w14:textId="77777777" w:rsidR="007C527F" w:rsidRPr="00CA56A3" w:rsidRDefault="007C527F" w:rsidP="007C527F">
      <w:pPr>
        <w:pStyle w:val="P-Text-No-Indent"/>
        <w:numPr>
          <w:ilvl w:val="0"/>
          <w:numId w:val="10"/>
        </w:numPr>
        <w:spacing w:before="0" w:after="0"/>
        <w:jc w:val="both"/>
        <w:rPr>
          <w:rFonts w:ascii="Arial" w:hAnsi="Arial" w:cs="Arial"/>
          <w:szCs w:val="24"/>
          <w:lang w:eastAsia="en-US"/>
        </w:rPr>
      </w:pPr>
      <w:r w:rsidRPr="00500B40">
        <w:rPr>
          <w:rFonts w:ascii="Arial" w:hAnsi="Arial" w:cs="Arial"/>
          <w:szCs w:val="24"/>
          <w:lang w:eastAsia="en-US"/>
        </w:rPr>
        <w:lastRenderedPageBreak/>
        <w:t xml:space="preserve">To maintain and increase clinical engagement in the </w:t>
      </w:r>
      <w:proofErr w:type="spellStart"/>
      <w:r w:rsidRPr="00500B40">
        <w:rPr>
          <w:rFonts w:ascii="Arial" w:hAnsi="Arial" w:cs="Arial"/>
          <w:szCs w:val="24"/>
          <w:lang w:eastAsia="en-US"/>
        </w:rPr>
        <w:t>PowerChart</w:t>
      </w:r>
      <w:proofErr w:type="spellEnd"/>
      <w:r w:rsidRPr="00500B40">
        <w:rPr>
          <w:rFonts w:ascii="Arial" w:hAnsi="Arial" w:cs="Arial"/>
          <w:szCs w:val="24"/>
          <w:lang w:eastAsia="en-US"/>
        </w:rPr>
        <w:t xml:space="preserve"> Maternity roll-out and broader </w:t>
      </w:r>
      <w:proofErr w:type="spellStart"/>
      <w:r w:rsidRPr="00500B40">
        <w:rPr>
          <w:rFonts w:ascii="Arial" w:hAnsi="Arial" w:cs="Arial"/>
          <w:szCs w:val="24"/>
          <w:lang w:eastAsia="en-US"/>
        </w:rPr>
        <w:t>Cerner@Imperial</w:t>
      </w:r>
      <w:proofErr w:type="spellEnd"/>
      <w:r w:rsidRPr="00500B40">
        <w:rPr>
          <w:rFonts w:ascii="Arial" w:hAnsi="Arial" w:cs="Arial"/>
          <w:szCs w:val="24"/>
          <w:lang w:eastAsia="en-US"/>
        </w:rPr>
        <w:t xml:space="preserve"> programme</w:t>
      </w:r>
    </w:p>
    <w:p w14:paraId="3BB40E72" w14:textId="77777777" w:rsidR="007C527F" w:rsidRDefault="007C527F" w:rsidP="007C527F">
      <w:pPr>
        <w:spacing w:after="120"/>
        <w:rPr>
          <w:sz w:val="22"/>
          <w:szCs w:val="22"/>
          <w:lang w:eastAsia="en-GB"/>
        </w:rPr>
      </w:pPr>
    </w:p>
    <w:p w14:paraId="059AFB4B" w14:textId="77777777" w:rsidR="007C527F" w:rsidRPr="00624204" w:rsidRDefault="007C527F" w:rsidP="007C527F">
      <w:pPr>
        <w:pStyle w:val="Heading1"/>
        <w:numPr>
          <w:ilvl w:val="0"/>
          <w:numId w:val="9"/>
        </w:numPr>
        <w:spacing w:after="0"/>
        <w:rPr>
          <w:sz w:val="36"/>
          <w:szCs w:val="36"/>
        </w:rPr>
      </w:pPr>
      <w:bookmarkStart w:id="10" w:name="_Toc535485425"/>
      <w:bookmarkStart w:id="11" w:name="_Toc535485884"/>
      <w:r w:rsidRPr="00624204">
        <w:rPr>
          <w:sz w:val="36"/>
          <w:szCs w:val="36"/>
        </w:rPr>
        <w:t>Benefits achieved to date</w:t>
      </w:r>
      <w:bookmarkEnd w:id="10"/>
      <w:bookmarkEnd w:id="11"/>
    </w:p>
    <w:p w14:paraId="25A7117D" w14:textId="77777777" w:rsidR="007C527F" w:rsidRDefault="007C527F" w:rsidP="007C527F">
      <w:pPr>
        <w:spacing w:after="120"/>
        <w:ind w:left="360"/>
        <w:rPr>
          <w:rFonts w:cs="Arial"/>
        </w:rPr>
      </w:pPr>
      <w:r>
        <w:rPr>
          <w:rFonts w:cs="Arial"/>
        </w:rPr>
        <w:t xml:space="preserve">A case study and benefit review has been undertaken and </w:t>
      </w:r>
      <w:proofErr w:type="gramStart"/>
      <w:r>
        <w:rPr>
          <w:rFonts w:cs="Arial"/>
        </w:rPr>
        <w:t>it is clear that the</w:t>
      </w:r>
      <w:proofErr w:type="gramEnd"/>
      <w:r>
        <w:rPr>
          <w:rFonts w:cs="Arial"/>
        </w:rPr>
        <w:t xml:space="preserve"> </w:t>
      </w:r>
      <w:proofErr w:type="spellStart"/>
      <w:r>
        <w:rPr>
          <w:rFonts w:cs="Arial"/>
        </w:rPr>
        <w:t>Fetalink</w:t>
      </w:r>
      <w:proofErr w:type="spellEnd"/>
      <w:r>
        <w:rPr>
          <w:rFonts w:cs="Arial"/>
        </w:rPr>
        <w:t xml:space="preserve"> system has reduced duplication and associated clinical risk and staff time, improved staff experience and patient safety.  Benefits were observed such as; </w:t>
      </w:r>
    </w:p>
    <w:p w14:paraId="1556A674" w14:textId="77777777" w:rsidR="007C527F" w:rsidRDefault="007C527F" w:rsidP="007C527F">
      <w:pPr>
        <w:pStyle w:val="Heading2"/>
        <w:ind w:left="360"/>
      </w:pPr>
      <w:bookmarkStart w:id="12" w:name="_Toc535485426"/>
      <w:bookmarkStart w:id="13" w:name="_Toc535485885"/>
      <w:r>
        <w:t>Patient Safety</w:t>
      </w:r>
      <w:bookmarkEnd w:id="12"/>
      <w:bookmarkEnd w:id="13"/>
    </w:p>
    <w:p w14:paraId="383C72E7" w14:textId="77777777" w:rsidR="007C527F" w:rsidRPr="00500B40" w:rsidRDefault="007C527F" w:rsidP="007C527F">
      <w:pPr>
        <w:pStyle w:val="ListParagraph"/>
        <w:numPr>
          <w:ilvl w:val="0"/>
          <w:numId w:val="14"/>
        </w:numPr>
        <w:textboxTightWrap w:val="allLines"/>
      </w:pPr>
      <w:r>
        <w:t xml:space="preserve">Clinicians now have </w:t>
      </w:r>
      <w:r w:rsidRPr="00500B40">
        <w:t>real-time access to critical information about a woman’s pregnancy and the health of her baby,</w:t>
      </w:r>
      <w:r>
        <w:t xml:space="preserve"> this should lead to an</w:t>
      </w:r>
      <w:r w:rsidRPr="00500B40">
        <w:t xml:space="preserve"> improv</w:t>
      </w:r>
      <w:r>
        <w:t>ement in</w:t>
      </w:r>
      <w:r w:rsidRPr="00500B40">
        <w:t xml:space="preserve"> patient safety and help clinicians make informed decisions</w:t>
      </w:r>
      <w:r>
        <w:t>.</w:t>
      </w:r>
    </w:p>
    <w:p w14:paraId="0210DBB1" w14:textId="77777777" w:rsidR="007C527F" w:rsidRPr="00500B40" w:rsidRDefault="007C527F" w:rsidP="007C527F">
      <w:pPr>
        <w:pStyle w:val="ListParagraph"/>
        <w:numPr>
          <w:ilvl w:val="0"/>
          <w:numId w:val="14"/>
        </w:numPr>
        <w:textboxTightWrap w:val="allLines"/>
      </w:pPr>
      <w:r>
        <w:t>T</w:t>
      </w:r>
      <w:r w:rsidRPr="003A1FA1">
        <w:t xml:space="preserve">he Obstetrician or Midwife in charge </w:t>
      </w:r>
      <w:r>
        <w:t xml:space="preserve">has site of the CTG reading from any location and screen within maternity </w:t>
      </w:r>
    </w:p>
    <w:p w14:paraId="5BC8CB9F" w14:textId="77777777" w:rsidR="007C527F" w:rsidRDefault="007C527F" w:rsidP="007C527F">
      <w:pPr>
        <w:pStyle w:val="ListParagraph"/>
        <w:numPr>
          <w:ilvl w:val="0"/>
          <w:numId w:val="14"/>
        </w:numPr>
        <w:textboxTightWrap w:val="allLines"/>
      </w:pPr>
      <w:r>
        <w:t>As there is more visibility of CTGs readings in real time there is r</w:t>
      </w:r>
      <w:r w:rsidRPr="00500B40">
        <w:t>educe</w:t>
      </w:r>
      <w:r>
        <w:t>d</w:t>
      </w:r>
      <w:r w:rsidRPr="00500B40">
        <w:t xml:space="preserve"> risk of failure to act on suspicious CTGs, improving the safety of maternity care</w:t>
      </w:r>
    </w:p>
    <w:p w14:paraId="4138870E" w14:textId="77777777" w:rsidR="007C527F" w:rsidRDefault="007C527F" w:rsidP="007C527F">
      <w:pPr>
        <w:pStyle w:val="ListParagraph"/>
        <w:numPr>
          <w:ilvl w:val="0"/>
          <w:numId w:val="14"/>
        </w:numPr>
        <w:textboxTightWrap w:val="allLines"/>
      </w:pPr>
      <w:r>
        <w:t xml:space="preserve">Electronic records pull through automatically which is </w:t>
      </w:r>
      <w:r w:rsidRPr="00500B40">
        <w:t>minimis</w:t>
      </w:r>
      <w:r>
        <w:t>ing</w:t>
      </w:r>
      <w:r w:rsidRPr="00500B40">
        <w:t xml:space="preserve"> the clinical risk of dual recording in paper notes and </w:t>
      </w:r>
      <w:proofErr w:type="spellStart"/>
      <w:r w:rsidRPr="00500B40">
        <w:t>PowerChart</w:t>
      </w:r>
      <w:proofErr w:type="spellEnd"/>
      <w:r w:rsidRPr="00500B40">
        <w:t xml:space="preserve"> Maternity</w:t>
      </w:r>
    </w:p>
    <w:p w14:paraId="30A1EAF8" w14:textId="77777777" w:rsidR="007C527F" w:rsidRDefault="007C527F" w:rsidP="007C527F">
      <w:pPr>
        <w:pStyle w:val="ListParagraph"/>
        <w:numPr>
          <w:ilvl w:val="0"/>
          <w:numId w:val="14"/>
        </w:numPr>
        <w:textboxTightWrap w:val="allLines"/>
      </w:pPr>
      <w:r>
        <w:t>There is now</w:t>
      </w:r>
      <w:r w:rsidRPr="003D311A">
        <w:t xml:space="preserve"> 100% adherence to the trust’s continuous foetal monitoring policy</w:t>
      </w:r>
    </w:p>
    <w:p w14:paraId="4EBFFF7D" w14:textId="77777777" w:rsidR="007C527F" w:rsidRPr="002E7573" w:rsidRDefault="007C527F" w:rsidP="007C527F">
      <w:pPr>
        <w:pStyle w:val="Heading2"/>
        <w:ind w:left="360"/>
        <w:rPr>
          <w:rFonts w:cstheme="majorBidi"/>
        </w:rPr>
      </w:pPr>
      <w:bookmarkStart w:id="14" w:name="_Toc535485427"/>
      <w:bookmarkStart w:id="15" w:name="_Toc535485886"/>
      <w:r w:rsidRPr="002E7573">
        <w:rPr>
          <w:rFonts w:cstheme="majorBidi"/>
        </w:rPr>
        <w:t>Patient Experience</w:t>
      </w:r>
      <w:bookmarkEnd w:id="14"/>
      <w:bookmarkEnd w:id="15"/>
    </w:p>
    <w:p w14:paraId="36B93E9E" w14:textId="77777777" w:rsidR="007C527F" w:rsidRPr="009A4446" w:rsidRDefault="007C527F" w:rsidP="007C527F">
      <w:pPr>
        <w:pStyle w:val="ListParagraph"/>
        <w:numPr>
          <w:ilvl w:val="0"/>
          <w:numId w:val="13"/>
        </w:numPr>
        <w:textboxTightWrap w:val="allLines"/>
        <w:rPr>
          <w:rFonts w:cs="Arial"/>
        </w:rPr>
      </w:pPr>
      <w:r w:rsidRPr="009A4446">
        <w:rPr>
          <w:rFonts w:cs="Arial"/>
        </w:rPr>
        <w:t>Reduced interruptions as a second interpretation can be provided instantly without a second midwife or obstetrician having to physically enter the labour room.</w:t>
      </w:r>
    </w:p>
    <w:p w14:paraId="7BA415ED" w14:textId="77777777" w:rsidR="007C527F" w:rsidRPr="009A4446" w:rsidRDefault="007C527F" w:rsidP="007C527F">
      <w:pPr>
        <w:pStyle w:val="ListParagraph"/>
        <w:numPr>
          <w:ilvl w:val="0"/>
          <w:numId w:val="13"/>
        </w:numPr>
        <w:textboxTightWrap w:val="allLines"/>
        <w:rPr>
          <w:sz w:val="22"/>
          <w:szCs w:val="22"/>
        </w:rPr>
      </w:pPr>
      <w:r w:rsidRPr="009A4446">
        <w:rPr>
          <w:rFonts w:cs="Arial"/>
        </w:rPr>
        <w:t xml:space="preserve">More patient choice as portable tocodynamometers can be used in the birthing pools enabling continuous </w:t>
      </w:r>
      <w:proofErr w:type="spellStart"/>
      <w:r w:rsidRPr="009A4446">
        <w:rPr>
          <w:rFonts w:cs="Arial"/>
        </w:rPr>
        <w:t>fetal</w:t>
      </w:r>
      <w:proofErr w:type="spellEnd"/>
      <w:r w:rsidRPr="009A4446">
        <w:rPr>
          <w:rFonts w:cs="Arial"/>
        </w:rPr>
        <w:t xml:space="preserve"> monitoring is possible.  This has given the option of using a birthing pool to more women. </w:t>
      </w:r>
    </w:p>
    <w:p w14:paraId="60EA1FD4" w14:textId="77777777" w:rsidR="007C527F" w:rsidRDefault="007C527F" w:rsidP="007C527F">
      <w:pPr>
        <w:pStyle w:val="Heading2"/>
        <w:ind w:left="360"/>
        <w:rPr>
          <w:lang w:eastAsia="en-GB"/>
        </w:rPr>
      </w:pPr>
      <w:bookmarkStart w:id="16" w:name="_Toc535485428"/>
      <w:bookmarkStart w:id="17" w:name="_Toc535485887"/>
      <w:r>
        <w:rPr>
          <w:lang w:eastAsia="en-GB"/>
        </w:rPr>
        <w:t>Staff Efficiency</w:t>
      </w:r>
      <w:bookmarkEnd w:id="16"/>
      <w:bookmarkEnd w:id="17"/>
      <w:r>
        <w:rPr>
          <w:lang w:eastAsia="en-GB"/>
        </w:rPr>
        <w:t xml:space="preserve"> </w:t>
      </w:r>
    </w:p>
    <w:p w14:paraId="10D3F63D" w14:textId="77777777" w:rsidR="007C527F" w:rsidRPr="009A4446" w:rsidRDefault="007C527F" w:rsidP="007C527F">
      <w:pPr>
        <w:pStyle w:val="ListParagraph"/>
        <w:numPr>
          <w:ilvl w:val="0"/>
          <w:numId w:val="12"/>
        </w:numPr>
        <w:textboxTightWrap w:val="allLines"/>
        <w:rPr>
          <w:rFonts w:cs="Arial"/>
        </w:rPr>
      </w:pPr>
      <w:r w:rsidRPr="009A4446">
        <w:rPr>
          <w:rFonts w:cs="Arial"/>
        </w:rPr>
        <w:t xml:space="preserve">Midwifes spend up to 10 minutes less for each birth in duplication of record keeping which has improved midwifery and obstetric productivity.  Midwifes are now typing up the notes on the system whilst the labour is in progress and finishing up at the end, the only writing that is taking place is a note of the birth date and time of delivery. Previously the midwifes would not only write the notes on paper and type up at the end but they would also have to enter data in 6 places; pink summary page, paper </w:t>
      </w:r>
      <w:proofErr w:type="spellStart"/>
      <w:r w:rsidRPr="009A4446">
        <w:rPr>
          <w:rFonts w:cs="Arial"/>
        </w:rPr>
        <w:t>partogramme</w:t>
      </w:r>
      <w:proofErr w:type="spellEnd"/>
      <w:r w:rsidRPr="009A4446">
        <w:rPr>
          <w:rFonts w:cs="Arial"/>
        </w:rPr>
        <w:t xml:space="preserve">, new born record,  normal paper notes, birth register as well as typing the notes in the electronic record, the hospital number would also have to be entered in the birth register, taking on average 20 minutes.  </w:t>
      </w:r>
    </w:p>
    <w:p w14:paraId="2E9A3D0E" w14:textId="77777777" w:rsidR="007C527F" w:rsidRPr="009A4446" w:rsidRDefault="007C527F" w:rsidP="007C527F">
      <w:pPr>
        <w:pStyle w:val="ListParagraph"/>
        <w:numPr>
          <w:ilvl w:val="0"/>
          <w:numId w:val="12"/>
        </w:numPr>
        <w:textboxTightWrap w:val="allLines"/>
        <w:rPr>
          <w:rFonts w:cs="Arial"/>
        </w:rPr>
      </w:pPr>
      <w:r w:rsidRPr="009A4446">
        <w:rPr>
          <w:rFonts w:cs="Arial"/>
        </w:rPr>
        <w:lastRenderedPageBreak/>
        <w:t xml:space="preserve">Risk managers no longer have to spend time cross referencing with the notes </w:t>
      </w:r>
      <w:proofErr w:type="gramStart"/>
      <w:r w:rsidRPr="009A4446">
        <w:rPr>
          <w:rFonts w:cs="Arial"/>
        </w:rPr>
        <w:t>as  the</w:t>
      </w:r>
      <w:proofErr w:type="gramEnd"/>
      <w:r w:rsidRPr="009A4446">
        <w:rPr>
          <w:rFonts w:cs="Arial"/>
        </w:rPr>
        <w:t xml:space="preserve"> electronic CTG shows the exact time that something has happened, this with the annotations means that the </w:t>
      </w:r>
    </w:p>
    <w:p w14:paraId="6E251315" w14:textId="77777777" w:rsidR="007C527F" w:rsidRPr="009A4446" w:rsidRDefault="007C527F" w:rsidP="007C527F">
      <w:pPr>
        <w:pStyle w:val="ListParagraph"/>
        <w:numPr>
          <w:ilvl w:val="0"/>
          <w:numId w:val="12"/>
        </w:numPr>
        <w:textboxTightWrap w:val="allLines"/>
        <w:rPr>
          <w:rFonts w:cs="Arial"/>
        </w:rPr>
      </w:pPr>
      <w:r w:rsidRPr="009A4446">
        <w:rPr>
          <w:rFonts w:cs="Arial"/>
        </w:rPr>
        <w:t xml:space="preserve">It is still necessary to scan CGTs, however the as it is quicker and easier to scan via a pdf on the system rather than scan from a paper copy more lower level cases can be scanned.  </w:t>
      </w:r>
    </w:p>
    <w:p w14:paraId="1F59F408" w14:textId="77777777" w:rsidR="007C527F" w:rsidRPr="00FF5523" w:rsidRDefault="007C527F" w:rsidP="007C527F">
      <w:pPr>
        <w:ind w:left="360"/>
        <w:rPr>
          <w:rFonts w:eastAsia="MS Mincho"/>
          <w:b/>
          <w:color w:val="005EB8" w:themeColor="accent1"/>
          <w:spacing w:val="-6"/>
          <w:kern w:val="28"/>
          <w:sz w:val="36"/>
          <w:szCs w:val="28"/>
          <w:lang w:eastAsia="en-GB"/>
          <w14:ligatures w14:val="standardContextual"/>
        </w:rPr>
      </w:pPr>
      <w:r w:rsidRPr="00FF5523">
        <w:rPr>
          <w:rFonts w:eastAsia="MS Mincho"/>
          <w:b/>
          <w:color w:val="005EB8" w:themeColor="accent1"/>
          <w:spacing w:val="-6"/>
          <w:kern w:val="28"/>
          <w:sz w:val="36"/>
          <w:szCs w:val="28"/>
          <w:lang w:eastAsia="en-GB"/>
          <w14:ligatures w14:val="standardContextual"/>
        </w:rPr>
        <w:t>Unobserved benefits</w:t>
      </w:r>
    </w:p>
    <w:p w14:paraId="58F3A3DB" w14:textId="77777777" w:rsidR="007C527F" w:rsidRPr="00500B40" w:rsidRDefault="007C527F" w:rsidP="007C527F">
      <w:pPr>
        <w:pStyle w:val="ListParagraph"/>
        <w:numPr>
          <w:ilvl w:val="0"/>
          <w:numId w:val="11"/>
        </w:numPr>
        <w:textboxTightWrap w:val="allLines"/>
      </w:pPr>
      <w:r>
        <w:t>R</w:t>
      </w:r>
      <w:r w:rsidRPr="00500B40">
        <w:t>educe</w:t>
      </w:r>
      <w:r>
        <w:t>d</w:t>
      </w:r>
      <w:r w:rsidRPr="00500B40">
        <w:t xml:space="preserve"> </w:t>
      </w:r>
      <w:r>
        <w:t>n</w:t>
      </w:r>
      <w:r w:rsidRPr="00500B40">
        <w:t>umber of medico-legal claims relating to CTG misinterpretation, thereby reducing the NHSLA premium</w:t>
      </w:r>
    </w:p>
    <w:p w14:paraId="15E1F74E" w14:textId="77777777" w:rsidR="007C527F" w:rsidRDefault="007C527F" w:rsidP="007C527F">
      <w:pPr>
        <w:pStyle w:val="ListParagraph"/>
        <w:numPr>
          <w:ilvl w:val="0"/>
          <w:numId w:val="11"/>
        </w:numPr>
        <w:textboxTightWrap w:val="allLines"/>
      </w:pPr>
      <w:r>
        <w:t>As the majority of CTGs are now electronic it will i</w:t>
      </w:r>
      <w:r w:rsidRPr="00500B40">
        <w:t xml:space="preserve">mprove ICHT’s ability to defend itself against medico-legal cases relating to CTG misinterpretation </w:t>
      </w:r>
    </w:p>
    <w:p w14:paraId="18D930A6" w14:textId="77777777" w:rsidR="007C527F" w:rsidRPr="00624204" w:rsidRDefault="007C527F" w:rsidP="007C527F">
      <w:pPr>
        <w:pStyle w:val="Heading1"/>
        <w:numPr>
          <w:ilvl w:val="0"/>
          <w:numId w:val="9"/>
        </w:numPr>
        <w:spacing w:after="0"/>
        <w:rPr>
          <w:sz w:val="36"/>
          <w:szCs w:val="36"/>
        </w:rPr>
      </w:pPr>
      <w:bookmarkStart w:id="18" w:name="_Toc535485429"/>
      <w:bookmarkStart w:id="19" w:name="_Toc535485888"/>
      <w:r>
        <w:rPr>
          <w:sz w:val="36"/>
          <w:szCs w:val="36"/>
        </w:rPr>
        <w:t>Issues</w:t>
      </w:r>
      <w:bookmarkEnd w:id="18"/>
      <w:bookmarkEnd w:id="19"/>
    </w:p>
    <w:p w14:paraId="5F2C0474" w14:textId="77777777" w:rsidR="007C527F" w:rsidRPr="0034319B" w:rsidRDefault="007C527F" w:rsidP="007C527F">
      <w:pPr>
        <w:pStyle w:val="ListParagraph"/>
        <w:ind w:left="360" w:firstLine="0"/>
        <w:rPr>
          <w:rFonts w:cs="Arial"/>
        </w:rPr>
      </w:pPr>
      <w:r w:rsidRPr="0034319B">
        <w:rPr>
          <w:rFonts w:cs="Arial"/>
        </w:rPr>
        <w:t>Bank and agency staff do not have passwords and so still need to use the paper CTG.</w:t>
      </w:r>
    </w:p>
    <w:p w14:paraId="36B3C02A" w14:textId="77777777" w:rsidR="007C527F" w:rsidRDefault="007C527F" w:rsidP="007C527F">
      <w:pPr>
        <w:ind w:left="360"/>
        <w:rPr>
          <w:rFonts w:cs="Arial"/>
        </w:rPr>
      </w:pPr>
      <w:r>
        <w:rPr>
          <w:rFonts w:cs="Arial"/>
        </w:rPr>
        <w:t>Risk managers are still having to search for CTGs which have gone missing due to not being correctly</w:t>
      </w:r>
      <w:r w:rsidRPr="000F0AFE">
        <w:rPr>
          <w:rFonts w:cs="Arial"/>
          <w:color w:val="auto"/>
        </w:rPr>
        <w:t xml:space="preserve"> associated.  The Risk Manager confirmed that there had been 2 cases of lost CTGs in the last 3 months </w:t>
      </w:r>
    </w:p>
    <w:p w14:paraId="28DFE5EC" w14:textId="77777777" w:rsidR="007C527F" w:rsidRPr="00C518B0" w:rsidRDefault="007C527F" w:rsidP="007C527F">
      <w:pPr>
        <w:pStyle w:val="Heading1"/>
        <w:numPr>
          <w:ilvl w:val="0"/>
          <w:numId w:val="9"/>
        </w:numPr>
        <w:spacing w:after="0"/>
        <w:rPr>
          <w:sz w:val="36"/>
          <w:szCs w:val="36"/>
        </w:rPr>
      </w:pPr>
      <w:bookmarkStart w:id="20" w:name="_Toc535485430"/>
      <w:bookmarkStart w:id="21" w:name="_Toc535485889"/>
      <w:r>
        <w:rPr>
          <w:sz w:val="36"/>
          <w:szCs w:val="36"/>
        </w:rPr>
        <w:t>Next steps</w:t>
      </w:r>
      <w:bookmarkEnd w:id="20"/>
      <w:bookmarkEnd w:id="21"/>
    </w:p>
    <w:p w14:paraId="30846055" w14:textId="77777777" w:rsidR="007C527F" w:rsidRDefault="007C527F" w:rsidP="007C527F">
      <w:pPr>
        <w:ind w:left="360"/>
        <w:rPr>
          <w:rFonts w:cs="Arial"/>
        </w:rPr>
      </w:pPr>
      <w:r>
        <w:rPr>
          <w:rFonts w:cs="Arial"/>
        </w:rPr>
        <w:t xml:space="preserve">Currently the trust has only added two benefits from </w:t>
      </w:r>
      <w:proofErr w:type="spellStart"/>
      <w:r>
        <w:rPr>
          <w:rFonts w:cs="Arial"/>
        </w:rPr>
        <w:t>fetalink</w:t>
      </w:r>
      <w:proofErr w:type="spellEnd"/>
      <w:r>
        <w:rPr>
          <w:rFonts w:cs="Arial"/>
        </w:rPr>
        <w:t xml:space="preserve"> to the benefit register on Project vision (see table below).  The full list of benefits that have been observed should be included on the trust’s benefits register. (see Benefits table page 8-10) </w:t>
      </w:r>
    </w:p>
    <w:tbl>
      <w:tblPr>
        <w:tblW w:w="10700" w:type="dxa"/>
        <w:tblInd w:w="-835" w:type="dxa"/>
        <w:tblLook w:val="04A0" w:firstRow="1" w:lastRow="0" w:firstColumn="1" w:lastColumn="0" w:noHBand="0" w:noVBand="1"/>
      </w:tblPr>
      <w:tblGrid>
        <w:gridCol w:w="759"/>
        <w:gridCol w:w="1418"/>
        <w:gridCol w:w="2100"/>
        <w:gridCol w:w="1585"/>
        <w:gridCol w:w="830"/>
        <w:gridCol w:w="760"/>
        <w:gridCol w:w="830"/>
        <w:gridCol w:w="828"/>
        <w:gridCol w:w="830"/>
        <w:gridCol w:w="760"/>
      </w:tblGrid>
      <w:tr w:rsidR="007C527F" w:rsidRPr="00F020C9" w14:paraId="70D938B2" w14:textId="77777777" w:rsidTr="004A49C1">
        <w:trPr>
          <w:trHeight w:val="1095"/>
        </w:trPr>
        <w:tc>
          <w:tcPr>
            <w:tcW w:w="759" w:type="dxa"/>
            <w:tcBorders>
              <w:top w:val="single" w:sz="4" w:space="0" w:color="auto"/>
              <w:left w:val="single" w:sz="4" w:space="0" w:color="auto"/>
              <w:bottom w:val="single" w:sz="4" w:space="0" w:color="auto"/>
              <w:right w:val="single" w:sz="4" w:space="0" w:color="auto"/>
            </w:tcBorders>
            <w:shd w:val="clear" w:color="000000" w:fill="31A3C9"/>
            <w:vAlign w:val="center"/>
            <w:hideMark/>
          </w:tcPr>
          <w:p w14:paraId="61706F4C" w14:textId="77777777" w:rsidR="007C527F" w:rsidRPr="00F020C9" w:rsidRDefault="007C527F" w:rsidP="004A49C1">
            <w:pPr>
              <w:spacing w:after="0"/>
              <w:jc w:val="center"/>
              <w:textboxTightWrap w:val="none"/>
              <w:rPr>
                <w:rFonts w:cs="Arial"/>
                <w:b/>
                <w:bCs/>
                <w:color w:val="FFFFFF"/>
                <w:sz w:val="16"/>
                <w:szCs w:val="16"/>
                <w:lang w:eastAsia="en-GB"/>
              </w:rPr>
            </w:pPr>
            <w:r w:rsidRPr="00F020C9">
              <w:rPr>
                <w:rFonts w:cs="Arial"/>
                <w:b/>
                <w:bCs/>
                <w:color w:val="FFFFFF"/>
                <w:sz w:val="16"/>
                <w:szCs w:val="16"/>
                <w:lang w:eastAsia="en-GB"/>
              </w:rPr>
              <w:t xml:space="preserve">Benefit No.  </w:t>
            </w:r>
          </w:p>
        </w:tc>
        <w:tc>
          <w:tcPr>
            <w:tcW w:w="1418" w:type="dxa"/>
            <w:tcBorders>
              <w:top w:val="single" w:sz="4" w:space="0" w:color="auto"/>
              <w:left w:val="nil"/>
              <w:bottom w:val="single" w:sz="4" w:space="0" w:color="auto"/>
              <w:right w:val="single" w:sz="4" w:space="0" w:color="auto"/>
            </w:tcBorders>
            <w:shd w:val="clear" w:color="000000" w:fill="31A3C9"/>
            <w:vAlign w:val="center"/>
            <w:hideMark/>
          </w:tcPr>
          <w:p w14:paraId="316AAF52" w14:textId="77777777" w:rsidR="007C527F" w:rsidRPr="00F020C9" w:rsidRDefault="007C527F" w:rsidP="004A49C1">
            <w:pPr>
              <w:spacing w:after="0"/>
              <w:jc w:val="center"/>
              <w:textboxTightWrap w:val="none"/>
              <w:rPr>
                <w:rFonts w:cs="Arial"/>
                <w:b/>
                <w:bCs/>
                <w:color w:val="FFFFFF"/>
                <w:sz w:val="16"/>
                <w:szCs w:val="16"/>
                <w:lang w:eastAsia="en-GB"/>
              </w:rPr>
            </w:pPr>
            <w:r w:rsidRPr="00F020C9">
              <w:rPr>
                <w:rFonts w:cs="Arial"/>
                <w:b/>
                <w:bCs/>
                <w:color w:val="FFFFFF"/>
                <w:sz w:val="16"/>
                <w:szCs w:val="16"/>
                <w:lang w:eastAsia="en-GB"/>
              </w:rPr>
              <w:t xml:space="preserve"> Benefit Title / Name  </w:t>
            </w:r>
          </w:p>
        </w:tc>
        <w:tc>
          <w:tcPr>
            <w:tcW w:w="2100" w:type="dxa"/>
            <w:tcBorders>
              <w:top w:val="single" w:sz="4" w:space="0" w:color="auto"/>
              <w:left w:val="nil"/>
              <w:bottom w:val="single" w:sz="4" w:space="0" w:color="auto"/>
              <w:right w:val="single" w:sz="4" w:space="0" w:color="auto"/>
            </w:tcBorders>
            <w:shd w:val="clear" w:color="000000" w:fill="31A3C9"/>
            <w:vAlign w:val="center"/>
            <w:hideMark/>
          </w:tcPr>
          <w:p w14:paraId="64D4A82A" w14:textId="77777777" w:rsidR="007C527F" w:rsidRPr="00F020C9" w:rsidRDefault="007C527F" w:rsidP="004A49C1">
            <w:pPr>
              <w:spacing w:after="0"/>
              <w:jc w:val="center"/>
              <w:textboxTightWrap w:val="none"/>
              <w:rPr>
                <w:rFonts w:cs="Arial"/>
                <w:b/>
                <w:bCs/>
                <w:color w:val="FFFFFF"/>
                <w:sz w:val="16"/>
                <w:szCs w:val="16"/>
                <w:lang w:eastAsia="en-GB"/>
              </w:rPr>
            </w:pPr>
            <w:r w:rsidRPr="00F020C9">
              <w:rPr>
                <w:rFonts w:cs="Arial"/>
                <w:b/>
                <w:bCs/>
                <w:color w:val="FFFFFF"/>
                <w:sz w:val="16"/>
                <w:szCs w:val="16"/>
                <w:lang w:eastAsia="en-GB"/>
              </w:rPr>
              <w:t xml:space="preserve">  Benefit Details  </w:t>
            </w:r>
          </w:p>
        </w:tc>
        <w:tc>
          <w:tcPr>
            <w:tcW w:w="1585" w:type="dxa"/>
            <w:tcBorders>
              <w:top w:val="single" w:sz="4" w:space="0" w:color="auto"/>
              <w:left w:val="nil"/>
              <w:bottom w:val="single" w:sz="4" w:space="0" w:color="auto"/>
              <w:right w:val="single" w:sz="4" w:space="0" w:color="auto"/>
            </w:tcBorders>
            <w:shd w:val="clear" w:color="000000" w:fill="31A3C9"/>
            <w:vAlign w:val="center"/>
            <w:hideMark/>
          </w:tcPr>
          <w:p w14:paraId="4D44491F" w14:textId="77777777" w:rsidR="007C527F" w:rsidRPr="00F020C9" w:rsidRDefault="007C527F" w:rsidP="004A49C1">
            <w:pPr>
              <w:spacing w:after="0"/>
              <w:jc w:val="center"/>
              <w:textboxTightWrap w:val="none"/>
              <w:rPr>
                <w:rFonts w:cs="Arial"/>
                <w:b/>
                <w:bCs/>
                <w:color w:val="FFFFFF"/>
                <w:sz w:val="16"/>
                <w:szCs w:val="16"/>
                <w:lang w:eastAsia="en-GB"/>
              </w:rPr>
            </w:pPr>
            <w:r w:rsidRPr="00F020C9">
              <w:rPr>
                <w:rFonts w:cs="Arial"/>
                <w:b/>
                <w:bCs/>
                <w:color w:val="FFFFFF"/>
                <w:sz w:val="16"/>
                <w:szCs w:val="16"/>
                <w:lang w:eastAsia="en-GB"/>
              </w:rPr>
              <w:t xml:space="preserve">  Outcome/ Benefit Calculations (Monetised where applicable)  </w:t>
            </w:r>
          </w:p>
        </w:tc>
        <w:tc>
          <w:tcPr>
            <w:tcW w:w="830" w:type="dxa"/>
            <w:tcBorders>
              <w:top w:val="single" w:sz="4" w:space="0" w:color="auto"/>
              <w:left w:val="nil"/>
              <w:bottom w:val="single" w:sz="4" w:space="0" w:color="auto"/>
              <w:right w:val="single" w:sz="4" w:space="0" w:color="auto"/>
            </w:tcBorders>
            <w:shd w:val="clear" w:color="000000" w:fill="31A3C9"/>
            <w:vAlign w:val="center"/>
            <w:hideMark/>
          </w:tcPr>
          <w:p w14:paraId="4FB5F963" w14:textId="77777777" w:rsidR="007C527F" w:rsidRPr="00F020C9" w:rsidRDefault="007C527F" w:rsidP="004A49C1">
            <w:pPr>
              <w:spacing w:after="0"/>
              <w:jc w:val="center"/>
              <w:textboxTightWrap w:val="none"/>
              <w:rPr>
                <w:rFonts w:cs="Arial"/>
                <w:b/>
                <w:bCs/>
                <w:color w:val="FFFFFF"/>
                <w:sz w:val="16"/>
                <w:szCs w:val="16"/>
                <w:lang w:eastAsia="en-GB"/>
              </w:rPr>
            </w:pPr>
            <w:r w:rsidRPr="00F020C9">
              <w:rPr>
                <w:rFonts w:cs="Arial"/>
                <w:b/>
                <w:bCs/>
                <w:color w:val="FFFFFF"/>
                <w:sz w:val="16"/>
                <w:szCs w:val="16"/>
                <w:lang w:eastAsia="en-GB"/>
              </w:rPr>
              <w:t xml:space="preserve"> Q2 2018 planned </w:t>
            </w:r>
          </w:p>
        </w:tc>
        <w:tc>
          <w:tcPr>
            <w:tcW w:w="760" w:type="dxa"/>
            <w:tcBorders>
              <w:top w:val="single" w:sz="4" w:space="0" w:color="auto"/>
              <w:left w:val="nil"/>
              <w:bottom w:val="single" w:sz="4" w:space="0" w:color="auto"/>
              <w:right w:val="single" w:sz="4" w:space="0" w:color="auto"/>
            </w:tcBorders>
            <w:shd w:val="clear" w:color="000000" w:fill="31A3C9"/>
            <w:vAlign w:val="center"/>
            <w:hideMark/>
          </w:tcPr>
          <w:p w14:paraId="132D1D9D" w14:textId="77777777" w:rsidR="007C527F" w:rsidRPr="00F020C9" w:rsidRDefault="007C527F" w:rsidP="004A49C1">
            <w:pPr>
              <w:spacing w:after="0"/>
              <w:jc w:val="center"/>
              <w:textboxTightWrap w:val="none"/>
              <w:rPr>
                <w:rFonts w:cs="Arial"/>
                <w:b/>
                <w:bCs/>
                <w:color w:val="FFFFFF"/>
                <w:sz w:val="16"/>
                <w:szCs w:val="16"/>
                <w:lang w:eastAsia="en-GB"/>
              </w:rPr>
            </w:pPr>
            <w:r w:rsidRPr="00F020C9">
              <w:rPr>
                <w:rFonts w:cs="Arial"/>
                <w:b/>
                <w:bCs/>
                <w:color w:val="FFFFFF"/>
                <w:sz w:val="16"/>
                <w:szCs w:val="16"/>
                <w:lang w:eastAsia="en-GB"/>
              </w:rPr>
              <w:t xml:space="preserve"> Q2 2018 actual </w:t>
            </w:r>
          </w:p>
        </w:tc>
        <w:tc>
          <w:tcPr>
            <w:tcW w:w="830" w:type="dxa"/>
            <w:tcBorders>
              <w:top w:val="single" w:sz="4" w:space="0" w:color="auto"/>
              <w:left w:val="nil"/>
              <w:bottom w:val="single" w:sz="4" w:space="0" w:color="auto"/>
              <w:right w:val="single" w:sz="4" w:space="0" w:color="auto"/>
            </w:tcBorders>
            <w:shd w:val="clear" w:color="000000" w:fill="31A3C9"/>
            <w:vAlign w:val="center"/>
            <w:hideMark/>
          </w:tcPr>
          <w:p w14:paraId="44D5D0EC" w14:textId="77777777" w:rsidR="007C527F" w:rsidRPr="00F020C9" w:rsidRDefault="007C527F" w:rsidP="004A49C1">
            <w:pPr>
              <w:spacing w:after="0"/>
              <w:jc w:val="center"/>
              <w:textboxTightWrap w:val="none"/>
              <w:rPr>
                <w:rFonts w:cs="Arial"/>
                <w:b/>
                <w:bCs/>
                <w:color w:val="FFFFFF"/>
                <w:sz w:val="16"/>
                <w:szCs w:val="16"/>
                <w:lang w:eastAsia="en-GB"/>
              </w:rPr>
            </w:pPr>
            <w:r w:rsidRPr="00F020C9">
              <w:rPr>
                <w:rFonts w:cs="Arial"/>
                <w:b/>
                <w:bCs/>
                <w:color w:val="FFFFFF"/>
                <w:sz w:val="16"/>
                <w:szCs w:val="16"/>
                <w:lang w:eastAsia="en-GB"/>
              </w:rPr>
              <w:t xml:space="preserve">  Q3 2018 planned </w:t>
            </w:r>
          </w:p>
        </w:tc>
        <w:tc>
          <w:tcPr>
            <w:tcW w:w="828" w:type="dxa"/>
            <w:tcBorders>
              <w:top w:val="single" w:sz="4" w:space="0" w:color="auto"/>
              <w:left w:val="nil"/>
              <w:bottom w:val="single" w:sz="4" w:space="0" w:color="auto"/>
              <w:right w:val="single" w:sz="4" w:space="0" w:color="auto"/>
            </w:tcBorders>
            <w:shd w:val="clear" w:color="000000" w:fill="31A3C9"/>
            <w:vAlign w:val="center"/>
            <w:hideMark/>
          </w:tcPr>
          <w:p w14:paraId="59BCD31C" w14:textId="77777777" w:rsidR="007C527F" w:rsidRPr="00F020C9" w:rsidRDefault="007C527F" w:rsidP="004A49C1">
            <w:pPr>
              <w:spacing w:after="0"/>
              <w:jc w:val="center"/>
              <w:textboxTightWrap w:val="none"/>
              <w:rPr>
                <w:rFonts w:cs="Arial"/>
                <w:b/>
                <w:bCs/>
                <w:color w:val="FFFFFF"/>
                <w:sz w:val="16"/>
                <w:szCs w:val="16"/>
                <w:lang w:eastAsia="en-GB"/>
              </w:rPr>
            </w:pPr>
            <w:r w:rsidRPr="00F020C9">
              <w:rPr>
                <w:rFonts w:cs="Arial"/>
                <w:b/>
                <w:bCs/>
                <w:color w:val="FFFFFF"/>
                <w:sz w:val="16"/>
                <w:szCs w:val="16"/>
                <w:lang w:eastAsia="en-GB"/>
              </w:rPr>
              <w:t xml:space="preserve">  Q3 2018 actual </w:t>
            </w:r>
          </w:p>
        </w:tc>
        <w:tc>
          <w:tcPr>
            <w:tcW w:w="830" w:type="dxa"/>
            <w:tcBorders>
              <w:top w:val="single" w:sz="4" w:space="0" w:color="auto"/>
              <w:left w:val="nil"/>
              <w:bottom w:val="single" w:sz="4" w:space="0" w:color="auto"/>
              <w:right w:val="single" w:sz="4" w:space="0" w:color="auto"/>
            </w:tcBorders>
            <w:shd w:val="clear" w:color="000000" w:fill="31A3C9"/>
            <w:vAlign w:val="center"/>
            <w:hideMark/>
          </w:tcPr>
          <w:p w14:paraId="3BFBD029" w14:textId="77777777" w:rsidR="007C527F" w:rsidRPr="00F020C9" w:rsidRDefault="007C527F" w:rsidP="004A49C1">
            <w:pPr>
              <w:spacing w:after="0"/>
              <w:jc w:val="center"/>
              <w:textboxTightWrap w:val="none"/>
              <w:rPr>
                <w:rFonts w:cs="Arial"/>
                <w:b/>
                <w:bCs/>
                <w:color w:val="FFFFFF"/>
                <w:sz w:val="16"/>
                <w:szCs w:val="16"/>
                <w:lang w:eastAsia="en-GB"/>
              </w:rPr>
            </w:pPr>
            <w:r w:rsidRPr="00F020C9">
              <w:rPr>
                <w:rFonts w:cs="Arial"/>
                <w:b/>
                <w:bCs/>
                <w:color w:val="FFFFFF"/>
                <w:sz w:val="16"/>
                <w:szCs w:val="16"/>
                <w:lang w:eastAsia="en-GB"/>
              </w:rPr>
              <w:t xml:space="preserve">  Q4 2018 planned </w:t>
            </w:r>
          </w:p>
        </w:tc>
        <w:tc>
          <w:tcPr>
            <w:tcW w:w="760" w:type="dxa"/>
            <w:tcBorders>
              <w:top w:val="single" w:sz="4" w:space="0" w:color="auto"/>
              <w:left w:val="nil"/>
              <w:bottom w:val="single" w:sz="4" w:space="0" w:color="auto"/>
              <w:right w:val="single" w:sz="4" w:space="0" w:color="auto"/>
            </w:tcBorders>
            <w:shd w:val="clear" w:color="000000" w:fill="31A3C9"/>
            <w:vAlign w:val="center"/>
            <w:hideMark/>
          </w:tcPr>
          <w:p w14:paraId="466D7974" w14:textId="77777777" w:rsidR="007C527F" w:rsidRPr="00F020C9" w:rsidRDefault="007C527F" w:rsidP="004A49C1">
            <w:pPr>
              <w:spacing w:after="0"/>
              <w:jc w:val="center"/>
              <w:textboxTightWrap w:val="none"/>
              <w:rPr>
                <w:rFonts w:cs="Arial"/>
                <w:b/>
                <w:bCs/>
                <w:color w:val="FFFFFF"/>
                <w:sz w:val="16"/>
                <w:szCs w:val="16"/>
                <w:lang w:eastAsia="en-GB"/>
              </w:rPr>
            </w:pPr>
            <w:r w:rsidRPr="00F020C9">
              <w:rPr>
                <w:rFonts w:cs="Arial"/>
                <w:b/>
                <w:bCs/>
                <w:color w:val="FFFFFF"/>
                <w:sz w:val="16"/>
                <w:szCs w:val="16"/>
                <w:lang w:eastAsia="en-GB"/>
              </w:rPr>
              <w:t xml:space="preserve">  Q4 2018 actual </w:t>
            </w:r>
          </w:p>
        </w:tc>
      </w:tr>
      <w:tr w:rsidR="007C527F" w:rsidRPr="00F020C9" w14:paraId="5D5E68DA" w14:textId="77777777" w:rsidTr="004A49C1">
        <w:trPr>
          <w:trHeight w:val="1395"/>
        </w:trPr>
        <w:tc>
          <w:tcPr>
            <w:tcW w:w="759" w:type="dxa"/>
            <w:tcBorders>
              <w:top w:val="nil"/>
              <w:left w:val="single" w:sz="4" w:space="0" w:color="auto"/>
              <w:bottom w:val="single" w:sz="4" w:space="0" w:color="auto"/>
              <w:right w:val="single" w:sz="4" w:space="0" w:color="auto"/>
            </w:tcBorders>
            <w:shd w:val="clear" w:color="000000" w:fill="EEEEEE"/>
            <w:vAlign w:val="center"/>
            <w:hideMark/>
          </w:tcPr>
          <w:p w14:paraId="5860F189" w14:textId="77777777" w:rsidR="007C527F" w:rsidRPr="00F020C9" w:rsidRDefault="007C527F" w:rsidP="004A49C1">
            <w:pPr>
              <w:spacing w:after="0"/>
              <w:textboxTightWrap w:val="none"/>
              <w:rPr>
                <w:rFonts w:cs="Arial"/>
                <w:color w:val="000000"/>
                <w:sz w:val="16"/>
                <w:szCs w:val="16"/>
                <w:lang w:eastAsia="en-GB"/>
              </w:rPr>
            </w:pPr>
            <w:r w:rsidRPr="00F020C9">
              <w:rPr>
                <w:rFonts w:cs="Arial"/>
                <w:color w:val="000000"/>
                <w:sz w:val="16"/>
                <w:szCs w:val="16"/>
                <w:lang w:eastAsia="en-GB"/>
              </w:rPr>
              <w:t>FL-JC03</w:t>
            </w:r>
          </w:p>
        </w:tc>
        <w:tc>
          <w:tcPr>
            <w:tcW w:w="1418" w:type="dxa"/>
            <w:tcBorders>
              <w:top w:val="nil"/>
              <w:left w:val="nil"/>
              <w:bottom w:val="single" w:sz="4" w:space="0" w:color="auto"/>
              <w:right w:val="single" w:sz="4" w:space="0" w:color="auto"/>
            </w:tcBorders>
            <w:shd w:val="clear" w:color="000000" w:fill="EEEEEE"/>
            <w:vAlign w:val="center"/>
            <w:hideMark/>
          </w:tcPr>
          <w:p w14:paraId="1A1EEBC4" w14:textId="77777777" w:rsidR="007C527F" w:rsidRPr="00F020C9" w:rsidRDefault="007C527F" w:rsidP="004A49C1">
            <w:pPr>
              <w:spacing w:after="0"/>
              <w:textboxTightWrap w:val="none"/>
              <w:rPr>
                <w:rFonts w:cs="Arial"/>
                <w:color w:val="000000"/>
                <w:sz w:val="18"/>
                <w:szCs w:val="18"/>
                <w:lang w:eastAsia="en-GB"/>
              </w:rPr>
            </w:pPr>
            <w:r w:rsidRPr="00F020C9">
              <w:rPr>
                <w:rFonts w:cs="Arial"/>
                <w:color w:val="000000"/>
                <w:sz w:val="18"/>
                <w:szCs w:val="18"/>
                <w:lang w:eastAsia="en-GB"/>
              </w:rPr>
              <w:t>The Risk Manager will save time not having to look for missing CTGs</w:t>
            </w:r>
          </w:p>
        </w:tc>
        <w:tc>
          <w:tcPr>
            <w:tcW w:w="2100" w:type="dxa"/>
            <w:tcBorders>
              <w:top w:val="nil"/>
              <w:left w:val="nil"/>
              <w:bottom w:val="single" w:sz="4" w:space="0" w:color="auto"/>
              <w:right w:val="single" w:sz="4" w:space="0" w:color="auto"/>
            </w:tcBorders>
            <w:shd w:val="clear" w:color="000000" w:fill="EEEEEE"/>
            <w:vAlign w:val="center"/>
            <w:hideMark/>
          </w:tcPr>
          <w:p w14:paraId="2F476D42" w14:textId="77777777" w:rsidR="007C527F" w:rsidRPr="00F020C9" w:rsidRDefault="007C527F" w:rsidP="004A49C1">
            <w:pPr>
              <w:spacing w:after="0"/>
              <w:textboxTightWrap w:val="none"/>
              <w:rPr>
                <w:rFonts w:cs="Arial"/>
                <w:color w:val="000000"/>
                <w:sz w:val="18"/>
                <w:szCs w:val="18"/>
                <w:lang w:eastAsia="en-GB"/>
              </w:rPr>
            </w:pPr>
            <w:r w:rsidRPr="00F020C9">
              <w:rPr>
                <w:rFonts w:cs="Arial"/>
                <w:color w:val="000000"/>
                <w:sz w:val="18"/>
                <w:szCs w:val="18"/>
                <w:lang w:eastAsia="en-GB"/>
              </w:rPr>
              <w:t>Instead of having to search for missing CTGs the risk managers will be able to call up the CTG electronically on the system.</w:t>
            </w:r>
          </w:p>
        </w:tc>
        <w:tc>
          <w:tcPr>
            <w:tcW w:w="1585" w:type="dxa"/>
            <w:tcBorders>
              <w:top w:val="nil"/>
              <w:left w:val="nil"/>
              <w:bottom w:val="single" w:sz="4" w:space="0" w:color="auto"/>
              <w:right w:val="single" w:sz="4" w:space="0" w:color="auto"/>
            </w:tcBorders>
            <w:shd w:val="clear" w:color="000000" w:fill="EEEEEE"/>
            <w:vAlign w:val="center"/>
            <w:hideMark/>
          </w:tcPr>
          <w:p w14:paraId="62375983" w14:textId="77777777" w:rsidR="007C527F" w:rsidRPr="00F020C9" w:rsidRDefault="007C527F" w:rsidP="004A49C1">
            <w:pPr>
              <w:spacing w:after="0"/>
              <w:textboxTightWrap w:val="none"/>
              <w:rPr>
                <w:rFonts w:cs="Arial"/>
                <w:color w:val="000000"/>
                <w:sz w:val="18"/>
                <w:szCs w:val="18"/>
                <w:lang w:eastAsia="en-GB"/>
              </w:rPr>
            </w:pPr>
            <w:r w:rsidRPr="00F020C9">
              <w:rPr>
                <w:rFonts w:cs="Arial"/>
                <w:color w:val="000000"/>
                <w:sz w:val="18"/>
                <w:szCs w:val="18"/>
                <w:lang w:eastAsia="en-GB"/>
              </w:rPr>
              <w:t>Hours taken x salary</w:t>
            </w:r>
          </w:p>
        </w:tc>
        <w:tc>
          <w:tcPr>
            <w:tcW w:w="830" w:type="dxa"/>
            <w:tcBorders>
              <w:top w:val="nil"/>
              <w:left w:val="nil"/>
              <w:bottom w:val="single" w:sz="4" w:space="0" w:color="auto"/>
              <w:right w:val="single" w:sz="4" w:space="0" w:color="auto"/>
            </w:tcBorders>
            <w:shd w:val="clear" w:color="000000" w:fill="EEEEEE"/>
            <w:noWrap/>
            <w:vAlign w:val="center"/>
            <w:hideMark/>
          </w:tcPr>
          <w:p w14:paraId="0071DCF2" w14:textId="77777777" w:rsidR="007C527F" w:rsidRPr="00F020C9" w:rsidRDefault="007C527F" w:rsidP="004A49C1">
            <w:pPr>
              <w:spacing w:after="0"/>
              <w:jc w:val="center"/>
              <w:textboxTightWrap w:val="none"/>
              <w:rPr>
                <w:rFonts w:cs="Arial"/>
                <w:color w:val="000000"/>
                <w:sz w:val="20"/>
                <w:szCs w:val="20"/>
                <w:lang w:eastAsia="en-GB"/>
              </w:rPr>
            </w:pPr>
            <w:r w:rsidRPr="00F020C9">
              <w:rPr>
                <w:rFonts w:cs="Arial"/>
                <w:color w:val="000000"/>
                <w:sz w:val="20"/>
                <w:szCs w:val="20"/>
                <w:lang w:eastAsia="en-GB"/>
              </w:rPr>
              <w:t>0</w:t>
            </w:r>
          </w:p>
        </w:tc>
        <w:tc>
          <w:tcPr>
            <w:tcW w:w="760" w:type="dxa"/>
            <w:tcBorders>
              <w:top w:val="nil"/>
              <w:left w:val="nil"/>
              <w:bottom w:val="single" w:sz="4" w:space="0" w:color="auto"/>
              <w:right w:val="single" w:sz="4" w:space="0" w:color="auto"/>
            </w:tcBorders>
            <w:shd w:val="clear" w:color="000000" w:fill="FFFFFF"/>
            <w:noWrap/>
            <w:vAlign w:val="center"/>
            <w:hideMark/>
          </w:tcPr>
          <w:p w14:paraId="2B35E809" w14:textId="77777777" w:rsidR="007C527F" w:rsidRPr="00F020C9" w:rsidRDefault="007C527F" w:rsidP="004A49C1">
            <w:pPr>
              <w:spacing w:after="0"/>
              <w:jc w:val="center"/>
              <w:textboxTightWrap w:val="none"/>
              <w:rPr>
                <w:rFonts w:cs="Arial"/>
                <w:color w:val="000000"/>
                <w:sz w:val="20"/>
                <w:szCs w:val="20"/>
                <w:lang w:eastAsia="en-GB"/>
              </w:rPr>
            </w:pPr>
            <w:r w:rsidRPr="00F020C9">
              <w:rPr>
                <w:rFonts w:cs="Arial"/>
                <w:color w:val="000000"/>
                <w:sz w:val="20"/>
                <w:szCs w:val="20"/>
                <w:lang w:eastAsia="en-GB"/>
              </w:rPr>
              <w:t>0</w:t>
            </w:r>
          </w:p>
        </w:tc>
        <w:tc>
          <w:tcPr>
            <w:tcW w:w="830" w:type="dxa"/>
            <w:tcBorders>
              <w:top w:val="nil"/>
              <w:left w:val="nil"/>
              <w:bottom w:val="single" w:sz="4" w:space="0" w:color="auto"/>
              <w:right w:val="single" w:sz="4" w:space="0" w:color="auto"/>
            </w:tcBorders>
            <w:shd w:val="clear" w:color="000000" w:fill="EEEEEE"/>
            <w:noWrap/>
            <w:vAlign w:val="center"/>
            <w:hideMark/>
          </w:tcPr>
          <w:p w14:paraId="4E137CFB" w14:textId="77777777" w:rsidR="007C527F" w:rsidRPr="00F020C9" w:rsidRDefault="007C527F" w:rsidP="004A49C1">
            <w:pPr>
              <w:spacing w:after="0"/>
              <w:jc w:val="center"/>
              <w:textboxTightWrap w:val="none"/>
              <w:rPr>
                <w:rFonts w:cs="Arial"/>
                <w:color w:val="000000"/>
                <w:sz w:val="20"/>
                <w:szCs w:val="20"/>
                <w:lang w:eastAsia="en-GB"/>
              </w:rPr>
            </w:pPr>
            <w:r w:rsidRPr="00F020C9">
              <w:rPr>
                <w:rFonts w:cs="Arial"/>
                <w:color w:val="000000"/>
                <w:sz w:val="20"/>
                <w:szCs w:val="20"/>
                <w:lang w:eastAsia="en-GB"/>
              </w:rPr>
              <w:t>0</w:t>
            </w:r>
          </w:p>
        </w:tc>
        <w:tc>
          <w:tcPr>
            <w:tcW w:w="828" w:type="dxa"/>
            <w:tcBorders>
              <w:top w:val="nil"/>
              <w:left w:val="nil"/>
              <w:bottom w:val="single" w:sz="4" w:space="0" w:color="auto"/>
              <w:right w:val="single" w:sz="4" w:space="0" w:color="auto"/>
            </w:tcBorders>
            <w:shd w:val="clear" w:color="000000" w:fill="FFFFFF"/>
            <w:noWrap/>
            <w:vAlign w:val="center"/>
            <w:hideMark/>
          </w:tcPr>
          <w:p w14:paraId="5CAE9B1C" w14:textId="77777777" w:rsidR="007C527F" w:rsidRPr="00F020C9" w:rsidRDefault="007C527F" w:rsidP="004A49C1">
            <w:pPr>
              <w:spacing w:after="0"/>
              <w:jc w:val="center"/>
              <w:textboxTightWrap w:val="none"/>
              <w:rPr>
                <w:rFonts w:cs="Arial"/>
                <w:color w:val="000000"/>
                <w:sz w:val="20"/>
                <w:szCs w:val="20"/>
                <w:lang w:eastAsia="en-GB"/>
              </w:rPr>
            </w:pPr>
            <w:r w:rsidRPr="00F020C9">
              <w:rPr>
                <w:rFonts w:cs="Arial"/>
                <w:color w:val="000000"/>
                <w:sz w:val="20"/>
                <w:szCs w:val="20"/>
                <w:lang w:eastAsia="en-GB"/>
              </w:rPr>
              <w:t>0</w:t>
            </w:r>
          </w:p>
        </w:tc>
        <w:tc>
          <w:tcPr>
            <w:tcW w:w="830" w:type="dxa"/>
            <w:tcBorders>
              <w:top w:val="nil"/>
              <w:left w:val="nil"/>
              <w:bottom w:val="single" w:sz="4" w:space="0" w:color="auto"/>
              <w:right w:val="single" w:sz="4" w:space="0" w:color="auto"/>
            </w:tcBorders>
            <w:shd w:val="clear" w:color="000000" w:fill="EEEEEE"/>
            <w:noWrap/>
            <w:vAlign w:val="center"/>
            <w:hideMark/>
          </w:tcPr>
          <w:p w14:paraId="31817550" w14:textId="77777777" w:rsidR="007C527F" w:rsidRPr="00F020C9" w:rsidRDefault="007C527F" w:rsidP="004A49C1">
            <w:pPr>
              <w:spacing w:after="0"/>
              <w:jc w:val="center"/>
              <w:textboxTightWrap w:val="none"/>
              <w:rPr>
                <w:rFonts w:cs="Arial"/>
                <w:color w:val="000000"/>
                <w:sz w:val="20"/>
                <w:szCs w:val="20"/>
                <w:lang w:eastAsia="en-GB"/>
              </w:rPr>
            </w:pPr>
            <w:r w:rsidRPr="00F020C9">
              <w:rPr>
                <w:rFonts w:cs="Arial"/>
                <w:color w:val="000000"/>
                <w:sz w:val="20"/>
                <w:szCs w:val="20"/>
                <w:lang w:eastAsia="en-GB"/>
              </w:rPr>
              <w:t>0</w:t>
            </w:r>
          </w:p>
        </w:tc>
        <w:tc>
          <w:tcPr>
            <w:tcW w:w="760" w:type="dxa"/>
            <w:tcBorders>
              <w:top w:val="nil"/>
              <w:left w:val="nil"/>
              <w:bottom w:val="single" w:sz="4" w:space="0" w:color="auto"/>
              <w:right w:val="single" w:sz="4" w:space="0" w:color="auto"/>
            </w:tcBorders>
            <w:shd w:val="clear" w:color="000000" w:fill="FFFFFF"/>
            <w:noWrap/>
            <w:vAlign w:val="center"/>
            <w:hideMark/>
          </w:tcPr>
          <w:p w14:paraId="4E7E465E" w14:textId="77777777" w:rsidR="007C527F" w:rsidRPr="00F020C9" w:rsidRDefault="007C527F" w:rsidP="004A49C1">
            <w:pPr>
              <w:spacing w:after="0"/>
              <w:jc w:val="center"/>
              <w:textboxTightWrap w:val="none"/>
              <w:rPr>
                <w:rFonts w:cs="Arial"/>
                <w:color w:val="000000"/>
                <w:sz w:val="20"/>
                <w:szCs w:val="20"/>
                <w:lang w:eastAsia="en-GB"/>
              </w:rPr>
            </w:pPr>
            <w:r w:rsidRPr="00F020C9">
              <w:rPr>
                <w:rFonts w:cs="Arial"/>
                <w:color w:val="000000"/>
                <w:sz w:val="20"/>
                <w:szCs w:val="20"/>
                <w:lang w:eastAsia="en-GB"/>
              </w:rPr>
              <w:t> </w:t>
            </w:r>
          </w:p>
        </w:tc>
      </w:tr>
      <w:tr w:rsidR="007C527F" w:rsidRPr="00F020C9" w14:paraId="5AA1AF12" w14:textId="77777777" w:rsidTr="004A49C1">
        <w:trPr>
          <w:trHeight w:val="1628"/>
        </w:trPr>
        <w:tc>
          <w:tcPr>
            <w:tcW w:w="759" w:type="dxa"/>
            <w:tcBorders>
              <w:top w:val="nil"/>
              <w:left w:val="single" w:sz="4" w:space="0" w:color="auto"/>
              <w:bottom w:val="single" w:sz="4" w:space="0" w:color="auto"/>
              <w:right w:val="single" w:sz="4" w:space="0" w:color="auto"/>
            </w:tcBorders>
            <w:shd w:val="clear" w:color="000000" w:fill="EEEEEE"/>
            <w:vAlign w:val="center"/>
            <w:hideMark/>
          </w:tcPr>
          <w:p w14:paraId="09E951D5" w14:textId="77777777" w:rsidR="007C527F" w:rsidRPr="00F020C9" w:rsidRDefault="007C527F" w:rsidP="004A49C1">
            <w:pPr>
              <w:spacing w:after="0"/>
              <w:textboxTightWrap w:val="none"/>
              <w:rPr>
                <w:rFonts w:cs="Arial"/>
                <w:color w:val="000000"/>
                <w:sz w:val="16"/>
                <w:szCs w:val="16"/>
                <w:lang w:eastAsia="en-GB"/>
              </w:rPr>
            </w:pPr>
            <w:r w:rsidRPr="00F020C9">
              <w:rPr>
                <w:rFonts w:cs="Arial"/>
                <w:color w:val="000000"/>
                <w:sz w:val="16"/>
                <w:szCs w:val="16"/>
                <w:lang w:eastAsia="en-GB"/>
              </w:rPr>
              <w:t>FL-JC04</w:t>
            </w:r>
          </w:p>
        </w:tc>
        <w:tc>
          <w:tcPr>
            <w:tcW w:w="1418" w:type="dxa"/>
            <w:tcBorders>
              <w:top w:val="nil"/>
              <w:left w:val="nil"/>
              <w:bottom w:val="single" w:sz="4" w:space="0" w:color="auto"/>
              <w:right w:val="single" w:sz="4" w:space="0" w:color="auto"/>
            </w:tcBorders>
            <w:shd w:val="clear" w:color="000000" w:fill="EEEEEE"/>
            <w:vAlign w:val="center"/>
            <w:hideMark/>
          </w:tcPr>
          <w:p w14:paraId="56F51BAA" w14:textId="77777777" w:rsidR="007C527F" w:rsidRPr="00F020C9" w:rsidRDefault="007C527F" w:rsidP="004A49C1">
            <w:pPr>
              <w:spacing w:after="0"/>
              <w:textboxTightWrap w:val="none"/>
              <w:rPr>
                <w:rFonts w:cs="Arial"/>
                <w:color w:val="000000"/>
                <w:sz w:val="18"/>
                <w:szCs w:val="18"/>
                <w:lang w:eastAsia="en-GB"/>
              </w:rPr>
            </w:pPr>
            <w:r w:rsidRPr="00F020C9">
              <w:rPr>
                <w:rFonts w:cs="Arial"/>
                <w:color w:val="000000"/>
                <w:sz w:val="18"/>
                <w:szCs w:val="18"/>
                <w:lang w:eastAsia="en-GB"/>
              </w:rPr>
              <w:t>CTG and vital signs monitoring fully integrated into the EPR saving printing costs</w:t>
            </w:r>
          </w:p>
        </w:tc>
        <w:tc>
          <w:tcPr>
            <w:tcW w:w="2100" w:type="dxa"/>
            <w:tcBorders>
              <w:top w:val="nil"/>
              <w:left w:val="nil"/>
              <w:bottom w:val="single" w:sz="4" w:space="0" w:color="auto"/>
              <w:right w:val="single" w:sz="4" w:space="0" w:color="auto"/>
            </w:tcBorders>
            <w:shd w:val="clear" w:color="000000" w:fill="EEEEEE"/>
            <w:vAlign w:val="center"/>
            <w:hideMark/>
          </w:tcPr>
          <w:p w14:paraId="143326F2" w14:textId="77777777" w:rsidR="007C527F" w:rsidRPr="00F020C9" w:rsidRDefault="007C527F" w:rsidP="004A49C1">
            <w:pPr>
              <w:spacing w:after="0"/>
              <w:textboxTightWrap w:val="none"/>
              <w:rPr>
                <w:rFonts w:cs="Arial"/>
                <w:color w:val="000000"/>
                <w:sz w:val="18"/>
                <w:szCs w:val="18"/>
                <w:lang w:eastAsia="en-GB"/>
              </w:rPr>
            </w:pPr>
            <w:r w:rsidRPr="00F020C9">
              <w:rPr>
                <w:rFonts w:cs="Arial"/>
                <w:color w:val="000000"/>
                <w:sz w:val="18"/>
                <w:szCs w:val="18"/>
                <w:lang w:eastAsia="en-GB"/>
              </w:rPr>
              <w:t xml:space="preserve">Instead of paying for Paragon Printing, CTGs will be available electronically. </w:t>
            </w:r>
            <w:proofErr w:type="spellStart"/>
            <w:r w:rsidRPr="00F020C9">
              <w:rPr>
                <w:rFonts w:cs="Arial"/>
                <w:color w:val="000000"/>
                <w:sz w:val="18"/>
                <w:szCs w:val="18"/>
                <w:lang w:eastAsia="en-GB"/>
              </w:rPr>
              <w:t>Fetalink</w:t>
            </w:r>
            <w:proofErr w:type="spellEnd"/>
            <w:r w:rsidRPr="00F020C9">
              <w:rPr>
                <w:rFonts w:cs="Arial"/>
                <w:color w:val="000000"/>
                <w:sz w:val="18"/>
                <w:szCs w:val="18"/>
                <w:lang w:eastAsia="en-GB"/>
              </w:rPr>
              <w:t xml:space="preserve"> will transmit the information directly into the patient record</w:t>
            </w:r>
          </w:p>
        </w:tc>
        <w:tc>
          <w:tcPr>
            <w:tcW w:w="1585" w:type="dxa"/>
            <w:tcBorders>
              <w:top w:val="nil"/>
              <w:left w:val="nil"/>
              <w:bottom w:val="single" w:sz="4" w:space="0" w:color="auto"/>
              <w:right w:val="single" w:sz="4" w:space="0" w:color="auto"/>
            </w:tcBorders>
            <w:shd w:val="clear" w:color="000000" w:fill="EEEEEE"/>
            <w:vAlign w:val="center"/>
            <w:hideMark/>
          </w:tcPr>
          <w:p w14:paraId="0969D1C2" w14:textId="77777777" w:rsidR="007C527F" w:rsidRPr="00F020C9" w:rsidRDefault="007C527F" w:rsidP="004A49C1">
            <w:pPr>
              <w:spacing w:after="0"/>
              <w:textboxTightWrap w:val="none"/>
              <w:rPr>
                <w:rFonts w:cs="Arial"/>
                <w:color w:val="000000"/>
                <w:sz w:val="18"/>
                <w:szCs w:val="18"/>
                <w:lang w:eastAsia="en-GB"/>
              </w:rPr>
            </w:pPr>
            <w:r w:rsidRPr="00F020C9">
              <w:rPr>
                <w:rFonts w:cs="Arial"/>
                <w:color w:val="000000"/>
                <w:sz w:val="18"/>
                <w:szCs w:val="18"/>
                <w:lang w:eastAsia="en-GB"/>
              </w:rPr>
              <w:t>Annual invoice cost for the year 16/17</w:t>
            </w:r>
          </w:p>
        </w:tc>
        <w:tc>
          <w:tcPr>
            <w:tcW w:w="830" w:type="dxa"/>
            <w:tcBorders>
              <w:top w:val="nil"/>
              <w:left w:val="nil"/>
              <w:bottom w:val="single" w:sz="4" w:space="0" w:color="auto"/>
              <w:right w:val="single" w:sz="4" w:space="0" w:color="auto"/>
            </w:tcBorders>
            <w:shd w:val="clear" w:color="000000" w:fill="EEEEEE"/>
            <w:noWrap/>
            <w:vAlign w:val="center"/>
            <w:hideMark/>
          </w:tcPr>
          <w:p w14:paraId="3BA0A9A9" w14:textId="77777777" w:rsidR="007C527F" w:rsidRPr="00F020C9" w:rsidRDefault="007C527F" w:rsidP="004A49C1">
            <w:pPr>
              <w:spacing w:after="0"/>
              <w:jc w:val="center"/>
              <w:textboxTightWrap w:val="none"/>
              <w:rPr>
                <w:rFonts w:cs="Arial"/>
                <w:color w:val="000000"/>
                <w:sz w:val="20"/>
                <w:szCs w:val="20"/>
                <w:lang w:eastAsia="en-GB"/>
              </w:rPr>
            </w:pPr>
            <w:r w:rsidRPr="00F020C9">
              <w:rPr>
                <w:rFonts w:cs="Arial"/>
                <w:color w:val="000000"/>
                <w:sz w:val="20"/>
                <w:szCs w:val="20"/>
                <w:lang w:eastAsia="en-GB"/>
              </w:rPr>
              <w:t>0</w:t>
            </w:r>
          </w:p>
        </w:tc>
        <w:tc>
          <w:tcPr>
            <w:tcW w:w="760" w:type="dxa"/>
            <w:tcBorders>
              <w:top w:val="nil"/>
              <w:left w:val="nil"/>
              <w:bottom w:val="single" w:sz="4" w:space="0" w:color="auto"/>
              <w:right w:val="single" w:sz="4" w:space="0" w:color="auto"/>
            </w:tcBorders>
            <w:shd w:val="clear" w:color="000000" w:fill="FFFFFF"/>
            <w:noWrap/>
            <w:vAlign w:val="center"/>
            <w:hideMark/>
          </w:tcPr>
          <w:p w14:paraId="1D999C5A" w14:textId="77777777" w:rsidR="007C527F" w:rsidRPr="00F020C9" w:rsidRDefault="007C527F" w:rsidP="004A49C1">
            <w:pPr>
              <w:spacing w:after="0"/>
              <w:jc w:val="center"/>
              <w:textboxTightWrap w:val="none"/>
              <w:rPr>
                <w:rFonts w:cs="Arial"/>
                <w:color w:val="000000"/>
                <w:sz w:val="20"/>
                <w:szCs w:val="20"/>
                <w:lang w:eastAsia="en-GB"/>
              </w:rPr>
            </w:pPr>
            <w:r w:rsidRPr="00F020C9">
              <w:rPr>
                <w:rFonts w:cs="Arial"/>
                <w:color w:val="000000"/>
                <w:sz w:val="20"/>
                <w:szCs w:val="20"/>
                <w:lang w:eastAsia="en-GB"/>
              </w:rPr>
              <w:t>0</w:t>
            </w:r>
          </w:p>
        </w:tc>
        <w:tc>
          <w:tcPr>
            <w:tcW w:w="830" w:type="dxa"/>
            <w:tcBorders>
              <w:top w:val="nil"/>
              <w:left w:val="nil"/>
              <w:bottom w:val="single" w:sz="4" w:space="0" w:color="auto"/>
              <w:right w:val="single" w:sz="4" w:space="0" w:color="auto"/>
            </w:tcBorders>
            <w:shd w:val="clear" w:color="000000" w:fill="EEEEEE"/>
            <w:noWrap/>
            <w:vAlign w:val="center"/>
            <w:hideMark/>
          </w:tcPr>
          <w:p w14:paraId="290FE803" w14:textId="77777777" w:rsidR="007C527F" w:rsidRPr="00F020C9" w:rsidRDefault="007C527F" w:rsidP="004A49C1">
            <w:pPr>
              <w:spacing w:after="0"/>
              <w:jc w:val="center"/>
              <w:textboxTightWrap w:val="none"/>
              <w:rPr>
                <w:rFonts w:cs="Arial"/>
                <w:color w:val="000000"/>
                <w:sz w:val="20"/>
                <w:szCs w:val="20"/>
                <w:lang w:eastAsia="en-GB"/>
              </w:rPr>
            </w:pPr>
            <w:r w:rsidRPr="00F020C9">
              <w:rPr>
                <w:rFonts w:cs="Arial"/>
                <w:color w:val="000000"/>
                <w:sz w:val="20"/>
                <w:szCs w:val="20"/>
                <w:lang w:eastAsia="en-GB"/>
              </w:rPr>
              <w:t>292.23</w:t>
            </w:r>
          </w:p>
        </w:tc>
        <w:tc>
          <w:tcPr>
            <w:tcW w:w="828" w:type="dxa"/>
            <w:tcBorders>
              <w:top w:val="nil"/>
              <w:left w:val="nil"/>
              <w:bottom w:val="single" w:sz="4" w:space="0" w:color="auto"/>
              <w:right w:val="single" w:sz="4" w:space="0" w:color="auto"/>
            </w:tcBorders>
            <w:shd w:val="clear" w:color="000000" w:fill="FFFFFF"/>
            <w:noWrap/>
            <w:vAlign w:val="center"/>
            <w:hideMark/>
          </w:tcPr>
          <w:p w14:paraId="62448139" w14:textId="77777777" w:rsidR="007C527F" w:rsidRPr="00F020C9" w:rsidRDefault="007C527F" w:rsidP="004A49C1">
            <w:pPr>
              <w:spacing w:after="0"/>
              <w:jc w:val="center"/>
              <w:textboxTightWrap w:val="none"/>
              <w:rPr>
                <w:rFonts w:cs="Arial"/>
                <w:color w:val="000000"/>
                <w:sz w:val="20"/>
                <w:szCs w:val="20"/>
                <w:lang w:eastAsia="en-GB"/>
              </w:rPr>
            </w:pPr>
            <w:r w:rsidRPr="00F020C9">
              <w:rPr>
                <w:rFonts w:cs="Arial"/>
                <w:color w:val="000000"/>
                <w:sz w:val="20"/>
                <w:szCs w:val="20"/>
                <w:lang w:eastAsia="en-GB"/>
              </w:rPr>
              <w:t>292.23</w:t>
            </w:r>
          </w:p>
        </w:tc>
        <w:tc>
          <w:tcPr>
            <w:tcW w:w="830" w:type="dxa"/>
            <w:tcBorders>
              <w:top w:val="nil"/>
              <w:left w:val="nil"/>
              <w:bottom w:val="single" w:sz="4" w:space="0" w:color="auto"/>
              <w:right w:val="single" w:sz="4" w:space="0" w:color="auto"/>
            </w:tcBorders>
            <w:shd w:val="clear" w:color="000000" w:fill="EEEEEE"/>
            <w:noWrap/>
            <w:vAlign w:val="center"/>
            <w:hideMark/>
          </w:tcPr>
          <w:p w14:paraId="791E4224" w14:textId="77777777" w:rsidR="007C527F" w:rsidRPr="00F020C9" w:rsidRDefault="007C527F" w:rsidP="004A49C1">
            <w:pPr>
              <w:spacing w:after="0"/>
              <w:jc w:val="center"/>
              <w:textboxTightWrap w:val="none"/>
              <w:rPr>
                <w:rFonts w:cs="Arial"/>
                <w:color w:val="000000"/>
                <w:sz w:val="20"/>
                <w:szCs w:val="20"/>
                <w:lang w:eastAsia="en-GB"/>
              </w:rPr>
            </w:pPr>
            <w:r w:rsidRPr="00F020C9">
              <w:rPr>
                <w:rFonts w:cs="Arial"/>
                <w:color w:val="000000"/>
                <w:sz w:val="20"/>
                <w:szCs w:val="20"/>
                <w:lang w:eastAsia="en-GB"/>
              </w:rPr>
              <w:t>292.23</w:t>
            </w:r>
          </w:p>
        </w:tc>
        <w:tc>
          <w:tcPr>
            <w:tcW w:w="760" w:type="dxa"/>
            <w:tcBorders>
              <w:top w:val="nil"/>
              <w:left w:val="nil"/>
              <w:bottom w:val="single" w:sz="4" w:space="0" w:color="auto"/>
              <w:right w:val="single" w:sz="4" w:space="0" w:color="auto"/>
            </w:tcBorders>
            <w:shd w:val="clear" w:color="000000" w:fill="FFFFFF"/>
            <w:noWrap/>
            <w:vAlign w:val="center"/>
            <w:hideMark/>
          </w:tcPr>
          <w:p w14:paraId="18DC6880" w14:textId="77777777" w:rsidR="007C527F" w:rsidRPr="00F020C9" w:rsidRDefault="007C527F" w:rsidP="004A49C1">
            <w:pPr>
              <w:spacing w:after="0"/>
              <w:jc w:val="center"/>
              <w:textboxTightWrap w:val="none"/>
              <w:rPr>
                <w:rFonts w:cs="Arial"/>
                <w:color w:val="000000"/>
                <w:sz w:val="20"/>
                <w:szCs w:val="20"/>
                <w:lang w:eastAsia="en-GB"/>
              </w:rPr>
            </w:pPr>
            <w:r w:rsidRPr="00F020C9">
              <w:rPr>
                <w:rFonts w:cs="Arial"/>
                <w:color w:val="000000"/>
                <w:sz w:val="20"/>
                <w:szCs w:val="20"/>
                <w:lang w:eastAsia="en-GB"/>
              </w:rPr>
              <w:t> </w:t>
            </w:r>
          </w:p>
        </w:tc>
      </w:tr>
    </w:tbl>
    <w:p w14:paraId="07C624B4" w14:textId="77777777" w:rsidR="007C527F" w:rsidRPr="00094B31" w:rsidRDefault="007C527F" w:rsidP="007C527F">
      <w:pPr>
        <w:spacing w:after="120"/>
        <w:ind w:left="720"/>
        <w:rPr>
          <w:rFonts w:cs="Arial"/>
          <w:sz w:val="22"/>
          <w:szCs w:val="22"/>
        </w:rPr>
      </w:pPr>
    </w:p>
    <w:p w14:paraId="577AB4BA" w14:textId="77777777" w:rsidR="007C527F" w:rsidRDefault="007C527F" w:rsidP="007C527F">
      <w:pPr>
        <w:spacing w:after="200" w:line="276" w:lineRule="auto"/>
        <w:textboxTightWrap w:val="none"/>
        <w:rPr>
          <w:rFonts w:cs="Arial"/>
          <w:sz w:val="22"/>
          <w:szCs w:val="22"/>
        </w:rPr>
        <w:sectPr w:rsidR="007C527F" w:rsidSect="0002779D">
          <w:pgSz w:w="11906" w:h="16838"/>
          <w:pgMar w:top="1440" w:right="1440" w:bottom="1440" w:left="1440" w:header="708" w:footer="708" w:gutter="0"/>
          <w:cols w:space="708"/>
          <w:docGrid w:linePitch="360"/>
        </w:sectPr>
      </w:pPr>
    </w:p>
    <w:tbl>
      <w:tblPr>
        <w:tblW w:w="139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030"/>
        <w:gridCol w:w="939"/>
        <w:gridCol w:w="1781"/>
        <w:gridCol w:w="1196"/>
        <w:gridCol w:w="1214"/>
        <w:gridCol w:w="1741"/>
        <w:gridCol w:w="1741"/>
      </w:tblGrid>
      <w:tr w:rsidR="007C527F" w:rsidRPr="00B51C27" w14:paraId="7484EC0E" w14:textId="77777777" w:rsidTr="004A49C1">
        <w:trPr>
          <w:trHeight w:val="952"/>
        </w:trPr>
        <w:tc>
          <w:tcPr>
            <w:tcW w:w="2269" w:type="dxa"/>
            <w:shd w:val="clear" w:color="000000" w:fill="C5D9F1"/>
            <w:hideMark/>
          </w:tcPr>
          <w:p w14:paraId="19742B46" w14:textId="77777777" w:rsidR="007C527F" w:rsidRPr="00323A2D" w:rsidRDefault="007C527F" w:rsidP="004A49C1">
            <w:pPr>
              <w:spacing w:after="0"/>
              <w:jc w:val="center"/>
              <w:textboxTightWrap w:val="none"/>
              <w:rPr>
                <w:rFonts w:cs="Arial"/>
                <w:b/>
                <w:bCs/>
                <w:color w:val="1F497D"/>
                <w:sz w:val="18"/>
                <w:szCs w:val="18"/>
                <w:lang w:eastAsia="en-GB"/>
              </w:rPr>
            </w:pPr>
            <w:r w:rsidRPr="00323A2D">
              <w:rPr>
                <w:rFonts w:cs="Arial"/>
                <w:b/>
                <w:bCs/>
                <w:color w:val="1F497D"/>
                <w:sz w:val="18"/>
                <w:szCs w:val="18"/>
                <w:lang w:eastAsia="en-GB"/>
              </w:rPr>
              <w:lastRenderedPageBreak/>
              <w:t>Benefit Title/Name</w:t>
            </w:r>
          </w:p>
        </w:tc>
        <w:tc>
          <w:tcPr>
            <w:tcW w:w="3030" w:type="dxa"/>
            <w:shd w:val="clear" w:color="000000" w:fill="C5D9F1"/>
            <w:hideMark/>
          </w:tcPr>
          <w:p w14:paraId="18ACDEE5" w14:textId="77777777" w:rsidR="007C527F" w:rsidRPr="00323A2D" w:rsidRDefault="007C527F" w:rsidP="004A49C1">
            <w:pPr>
              <w:spacing w:after="0"/>
              <w:jc w:val="center"/>
              <w:textboxTightWrap w:val="none"/>
              <w:rPr>
                <w:rFonts w:cs="Arial"/>
                <w:b/>
                <w:bCs/>
                <w:color w:val="1F497D"/>
                <w:sz w:val="18"/>
                <w:szCs w:val="18"/>
                <w:lang w:eastAsia="en-GB"/>
              </w:rPr>
            </w:pPr>
            <w:r w:rsidRPr="00323A2D">
              <w:rPr>
                <w:rFonts w:cs="Arial"/>
                <w:b/>
                <w:bCs/>
                <w:color w:val="1F497D"/>
                <w:sz w:val="18"/>
                <w:szCs w:val="18"/>
                <w:lang w:eastAsia="en-GB"/>
              </w:rPr>
              <w:t>Benefit details</w:t>
            </w:r>
          </w:p>
        </w:tc>
        <w:tc>
          <w:tcPr>
            <w:tcW w:w="939" w:type="dxa"/>
            <w:shd w:val="clear" w:color="000000" w:fill="C5D9F1"/>
            <w:hideMark/>
          </w:tcPr>
          <w:p w14:paraId="3AEFAF17" w14:textId="77777777" w:rsidR="007C527F" w:rsidRPr="00323A2D" w:rsidRDefault="007C527F" w:rsidP="004A49C1">
            <w:pPr>
              <w:spacing w:after="0"/>
              <w:jc w:val="center"/>
              <w:textboxTightWrap w:val="none"/>
              <w:rPr>
                <w:rFonts w:cs="Arial"/>
                <w:b/>
                <w:bCs/>
                <w:color w:val="1F497D"/>
                <w:sz w:val="18"/>
                <w:szCs w:val="18"/>
                <w:lang w:eastAsia="en-GB"/>
              </w:rPr>
            </w:pPr>
            <w:r w:rsidRPr="00323A2D">
              <w:rPr>
                <w:rFonts w:cs="Arial"/>
                <w:b/>
                <w:bCs/>
                <w:color w:val="1F497D"/>
                <w:sz w:val="18"/>
                <w:szCs w:val="18"/>
                <w:lang w:eastAsia="en-GB"/>
              </w:rPr>
              <w:t>Benefit Type</w:t>
            </w:r>
          </w:p>
        </w:tc>
        <w:tc>
          <w:tcPr>
            <w:tcW w:w="1781" w:type="dxa"/>
            <w:shd w:val="clear" w:color="000000" w:fill="C5D9F1"/>
            <w:hideMark/>
          </w:tcPr>
          <w:p w14:paraId="181CCC2A" w14:textId="77777777" w:rsidR="007C527F" w:rsidRPr="00323A2D" w:rsidRDefault="007C527F" w:rsidP="004A49C1">
            <w:pPr>
              <w:spacing w:after="0"/>
              <w:jc w:val="center"/>
              <w:textboxTightWrap w:val="none"/>
              <w:rPr>
                <w:rFonts w:cs="Arial"/>
                <w:b/>
                <w:bCs/>
                <w:color w:val="1F497D"/>
                <w:sz w:val="18"/>
                <w:szCs w:val="18"/>
                <w:lang w:eastAsia="en-GB"/>
              </w:rPr>
            </w:pPr>
            <w:r w:rsidRPr="00323A2D">
              <w:rPr>
                <w:rFonts w:cs="Arial"/>
                <w:b/>
                <w:bCs/>
                <w:color w:val="1F497D"/>
                <w:sz w:val="18"/>
                <w:szCs w:val="18"/>
                <w:lang w:eastAsia="en-GB"/>
              </w:rPr>
              <w:t>Source of Benefit measurement</w:t>
            </w:r>
          </w:p>
        </w:tc>
        <w:tc>
          <w:tcPr>
            <w:tcW w:w="1196" w:type="dxa"/>
            <w:shd w:val="clear" w:color="000000" w:fill="C5D9F1"/>
            <w:hideMark/>
          </w:tcPr>
          <w:p w14:paraId="23D133B0" w14:textId="77777777" w:rsidR="007C527F" w:rsidRPr="00323A2D" w:rsidRDefault="007C527F" w:rsidP="004A49C1">
            <w:pPr>
              <w:spacing w:after="0"/>
              <w:jc w:val="center"/>
              <w:textboxTightWrap w:val="none"/>
              <w:rPr>
                <w:rFonts w:cs="Arial"/>
                <w:b/>
                <w:bCs/>
                <w:color w:val="1F497D"/>
                <w:sz w:val="18"/>
                <w:szCs w:val="18"/>
                <w:lang w:eastAsia="en-GB"/>
              </w:rPr>
            </w:pPr>
            <w:r w:rsidRPr="00323A2D">
              <w:rPr>
                <w:rFonts w:cs="Arial"/>
                <w:b/>
                <w:bCs/>
                <w:color w:val="1F497D"/>
                <w:sz w:val="18"/>
                <w:szCs w:val="18"/>
                <w:lang w:eastAsia="en-GB"/>
              </w:rPr>
              <w:t>Baseline Value (e.g. £, %)</w:t>
            </w:r>
          </w:p>
        </w:tc>
        <w:tc>
          <w:tcPr>
            <w:tcW w:w="1214" w:type="dxa"/>
            <w:shd w:val="clear" w:color="000000" w:fill="C5D9F1"/>
            <w:hideMark/>
          </w:tcPr>
          <w:p w14:paraId="2BB8A4E8" w14:textId="77777777" w:rsidR="007C527F" w:rsidRPr="00323A2D" w:rsidRDefault="007C527F" w:rsidP="004A49C1">
            <w:pPr>
              <w:spacing w:after="0"/>
              <w:jc w:val="center"/>
              <w:textboxTightWrap w:val="none"/>
              <w:rPr>
                <w:rFonts w:cs="Arial"/>
                <w:b/>
                <w:bCs/>
                <w:color w:val="1F497D"/>
                <w:sz w:val="18"/>
                <w:szCs w:val="18"/>
                <w:lang w:eastAsia="en-GB"/>
              </w:rPr>
            </w:pPr>
            <w:r w:rsidRPr="00323A2D">
              <w:rPr>
                <w:rFonts w:cs="Arial"/>
                <w:b/>
                <w:bCs/>
                <w:color w:val="1F497D"/>
                <w:sz w:val="18"/>
                <w:szCs w:val="18"/>
                <w:lang w:eastAsia="en-GB"/>
              </w:rPr>
              <w:t>Target Value (e.g. £, %)</w:t>
            </w:r>
          </w:p>
        </w:tc>
        <w:tc>
          <w:tcPr>
            <w:tcW w:w="1741" w:type="dxa"/>
            <w:shd w:val="clear" w:color="000000" w:fill="C5D9F1"/>
          </w:tcPr>
          <w:p w14:paraId="659B1412" w14:textId="77777777" w:rsidR="007C527F" w:rsidRPr="00323A2D" w:rsidRDefault="007C527F" w:rsidP="004A49C1">
            <w:pPr>
              <w:spacing w:after="0"/>
              <w:jc w:val="center"/>
              <w:textboxTightWrap w:val="none"/>
              <w:rPr>
                <w:rFonts w:cs="Arial"/>
                <w:b/>
                <w:bCs/>
                <w:color w:val="1F497D"/>
                <w:sz w:val="18"/>
                <w:szCs w:val="18"/>
                <w:lang w:eastAsia="en-GB"/>
              </w:rPr>
            </w:pPr>
            <w:r>
              <w:rPr>
                <w:rFonts w:cs="Arial"/>
                <w:b/>
                <w:bCs/>
                <w:color w:val="1F497D"/>
                <w:sz w:val="18"/>
                <w:szCs w:val="18"/>
                <w:lang w:eastAsia="en-GB"/>
              </w:rPr>
              <w:t>Post deployment status</w:t>
            </w:r>
          </w:p>
        </w:tc>
        <w:tc>
          <w:tcPr>
            <w:tcW w:w="1741" w:type="dxa"/>
            <w:shd w:val="clear" w:color="000000" w:fill="C5D9F1"/>
          </w:tcPr>
          <w:p w14:paraId="095DF4CC" w14:textId="77777777" w:rsidR="007C527F" w:rsidRPr="00323A2D" w:rsidRDefault="007C527F" w:rsidP="004A49C1">
            <w:pPr>
              <w:spacing w:after="240"/>
              <w:jc w:val="center"/>
              <w:textboxTightWrap w:val="none"/>
              <w:rPr>
                <w:rFonts w:cs="Arial"/>
                <w:b/>
                <w:bCs/>
                <w:color w:val="1F497D"/>
                <w:sz w:val="18"/>
                <w:szCs w:val="18"/>
                <w:lang w:eastAsia="en-GB"/>
              </w:rPr>
            </w:pPr>
            <w:r w:rsidRPr="00323A2D">
              <w:rPr>
                <w:rFonts w:cs="Arial"/>
                <w:b/>
                <w:bCs/>
                <w:color w:val="1F497D"/>
                <w:sz w:val="18"/>
                <w:szCs w:val="18"/>
                <w:lang w:eastAsia="en-GB"/>
              </w:rPr>
              <w:t>Assumptions</w:t>
            </w:r>
          </w:p>
        </w:tc>
      </w:tr>
      <w:tr w:rsidR="007C527F" w:rsidRPr="00B51C27" w14:paraId="2B39A022" w14:textId="77777777" w:rsidTr="004A49C1">
        <w:trPr>
          <w:trHeight w:val="2160"/>
        </w:trPr>
        <w:tc>
          <w:tcPr>
            <w:tcW w:w="2269" w:type="dxa"/>
            <w:shd w:val="clear" w:color="auto" w:fill="auto"/>
            <w:vAlign w:val="center"/>
            <w:hideMark/>
          </w:tcPr>
          <w:p w14:paraId="2A60CCE6"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Clinicians can support midwife and act on readings via the remote live overview of CTGs leading to reduced risk of incidents relating to CTG misinterpretation</w:t>
            </w:r>
          </w:p>
        </w:tc>
        <w:tc>
          <w:tcPr>
            <w:tcW w:w="3030" w:type="dxa"/>
            <w:shd w:val="clear" w:color="auto" w:fill="auto"/>
            <w:vAlign w:val="center"/>
            <w:hideMark/>
          </w:tcPr>
          <w:p w14:paraId="5EA1581D"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By providing a remote live overview of all CTGs, a reduction in the risk of failure to identify and act upon concerning CTG readings with the potential to save the lives of babies and/or prevent lifelong neurological damage; potential for significant safety and outcome improvement</w:t>
            </w:r>
          </w:p>
        </w:tc>
        <w:tc>
          <w:tcPr>
            <w:tcW w:w="939" w:type="dxa"/>
            <w:shd w:val="clear" w:color="auto" w:fill="auto"/>
            <w:vAlign w:val="center"/>
            <w:hideMark/>
          </w:tcPr>
          <w:p w14:paraId="6EBE3217"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Q</w:t>
            </w:r>
          </w:p>
        </w:tc>
        <w:tc>
          <w:tcPr>
            <w:tcW w:w="1781" w:type="dxa"/>
            <w:shd w:val="clear" w:color="auto" w:fill="auto"/>
            <w:vAlign w:val="center"/>
            <w:hideMark/>
          </w:tcPr>
          <w:p w14:paraId="1194893B" w14:textId="77777777" w:rsidR="007C527F"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 xml:space="preserve">Number of CTG related </w:t>
            </w:r>
            <w:proofErr w:type="spellStart"/>
            <w:r w:rsidRPr="00323A2D">
              <w:rPr>
                <w:rFonts w:cs="Arial"/>
                <w:color w:val="000000"/>
                <w:sz w:val="18"/>
                <w:szCs w:val="18"/>
                <w:lang w:eastAsia="en-GB"/>
              </w:rPr>
              <w:t>Datix</w:t>
            </w:r>
            <w:proofErr w:type="spellEnd"/>
            <w:r w:rsidRPr="00323A2D">
              <w:rPr>
                <w:rFonts w:cs="Arial"/>
                <w:color w:val="000000"/>
                <w:sz w:val="18"/>
                <w:szCs w:val="18"/>
                <w:lang w:eastAsia="en-GB"/>
              </w:rPr>
              <w:t xml:space="preserve"> instances</w:t>
            </w:r>
            <w:r>
              <w:rPr>
                <w:rFonts w:cs="Arial"/>
                <w:color w:val="000000"/>
                <w:sz w:val="18"/>
                <w:szCs w:val="18"/>
                <w:lang w:eastAsia="en-GB"/>
              </w:rPr>
              <w:t xml:space="preserve"> (</w:t>
            </w:r>
            <w:r w:rsidRPr="00323A2D">
              <w:rPr>
                <w:rFonts w:cs="Arial"/>
                <w:color w:val="000000"/>
                <w:sz w:val="18"/>
                <w:szCs w:val="18"/>
                <w:lang w:eastAsia="en-GB"/>
              </w:rPr>
              <w:t>2 per year</w:t>
            </w:r>
            <w:r>
              <w:rPr>
                <w:rFonts w:cs="Arial"/>
                <w:color w:val="000000"/>
                <w:sz w:val="18"/>
                <w:szCs w:val="18"/>
                <w:lang w:eastAsia="en-GB"/>
              </w:rPr>
              <w:t>)</w:t>
            </w:r>
          </w:p>
          <w:p w14:paraId="0A614D11" w14:textId="77777777" w:rsidR="007C527F" w:rsidRDefault="007C527F" w:rsidP="004A49C1">
            <w:pPr>
              <w:spacing w:after="0"/>
              <w:textboxTightWrap w:val="none"/>
              <w:rPr>
                <w:rFonts w:cs="Arial"/>
                <w:color w:val="000000"/>
                <w:sz w:val="18"/>
                <w:szCs w:val="18"/>
                <w:lang w:eastAsia="en-GB"/>
              </w:rPr>
            </w:pPr>
          </w:p>
          <w:p w14:paraId="51D6343B" w14:textId="77777777" w:rsidR="007C527F" w:rsidRPr="00323A2D" w:rsidRDefault="007C527F" w:rsidP="004A49C1">
            <w:pPr>
              <w:spacing w:after="0"/>
              <w:textboxTightWrap w:val="none"/>
              <w:rPr>
                <w:rFonts w:cs="Arial"/>
                <w:color w:val="000000"/>
                <w:sz w:val="18"/>
                <w:szCs w:val="18"/>
                <w:lang w:eastAsia="en-GB"/>
              </w:rPr>
            </w:pPr>
            <w:r>
              <w:rPr>
                <w:rFonts w:cs="Arial"/>
                <w:color w:val="000000"/>
                <w:sz w:val="18"/>
                <w:szCs w:val="18"/>
                <w:lang w:eastAsia="en-GB"/>
              </w:rPr>
              <w:t xml:space="preserve">Cost of </w:t>
            </w:r>
            <w:r w:rsidRPr="00AE06ED">
              <w:rPr>
                <w:rFonts w:cs="Arial"/>
                <w:color w:val="000000"/>
                <w:sz w:val="18"/>
                <w:szCs w:val="18"/>
                <w:lang w:eastAsia="en-GB"/>
              </w:rPr>
              <w:t>cost of CTC misinterpretation claims</w:t>
            </w:r>
          </w:p>
        </w:tc>
        <w:tc>
          <w:tcPr>
            <w:tcW w:w="1196" w:type="dxa"/>
            <w:shd w:val="clear" w:color="auto" w:fill="auto"/>
            <w:vAlign w:val="center"/>
            <w:hideMark/>
          </w:tcPr>
          <w:p w14:paraId="219E97F9" w14:textId="77777777" w:rsidR="007C527F" w:rsidRPr="00323A2D" w:rsidRDefault="007C527F" w:rsidP="004A49C1">
            <w:pPr>
              <w:spacing w:after="0"/>
              <w:textboxTightWrap w:val="none"/>
              <w:rPr>
                <w:rFonts w:cs="Arial"/>
                <w:color w:val="000000"/>
                <w:sz w:val="18"/>
                <w:szCs w:val="18"/>
                <w:lang w:eastAsia="en-GB"/>
              </w:rPr>
            </w:pPr>
            <w:r>
              <w:rPr>
                <w:rFonts w:cs="Arial"/>
                <w:color w:val="000000"/>
                <w:sz w:val="18"/>
                <w:szCs w:val="18"/>
                <w:lang w:eastAsia="en-GB"/>
              </w:rPr>
              <w:t>£2.3 M per year</w:t>
            </w:r>
          </w:p>
        </w:tc>
        <w:tc>
          <w:tcPr>
            <w:tcW w:w="1214" w:type="dxa"/>
            <w:shd w:val="clear" w:color="auto" w:fill="auto"/>
            <w:vAlign w:val="center"/>
            <w:hideMark/>
          </w:tcPr>
          <w:p w14:paraId="5C38EB72"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 </w:t>
            </w:r>
          </w:p>
        </w:tc>
        <w:tc>
          <w:tcPr>
            <w:tcW w:w="1741" w:type="dxa"/>
          </w:tcPr>
          <w:p w14:paraId="0EAD52E7" w14:textId="77777777" w:rsidR="007C527F" w:rsidRDefault="007C527F" w:rsidP="004A49C1">
            <w:pPr>
              <w:spacing w:after="0"/>
              <w:textboxTightWrap w:val="none"/>
              <w:rPr>
                <w:rFonts w:cs="Arial"/>
                <w:color w:val="000000"/>
                <w:sz w:val="18"/>
                <w:szCs w:val="18"/>
                <w:lang w:eastAsia="en-GB"/>
              </w:rPr>
            </w:pPr>
            <w:r>
              <w:rPr>
                <w:rFonts w:cs="Arial"/>
                <w:color w:val="000000"/>
                <w:sz w:val="18"/>
                <w:szCs w:val="18"/>
                <w:lang w:eastAsia="en-GB"/>
              </w:rPr>
              <w:t>Information not available yet</w:t>
            </w:r>
          </w:p>
        </w:tc>
        <w:tc>
          <w:tcPr>
            <w:tcW w:w="1741" w:type="dxa"/>
            <w:vAlign w:val="center"/>
          </w:tcPr>
          <w:p w14:paraId="2A521D45" w14:textId="77777777" w:rsidR="007C527F" w:rsidRPr="00323A2D" w:rsidRDefault="007C527F" w:rsidP="004A49C1">
            <w:pPr>
              <w:spacing w:after="0"/>
              <w:textboxTightWrap w:val="none"/>
              <w:rPr>
                <w:rFonts w:cs="Arial"/>
                <w:color w:val="000000"/>
                <w:sz w:val="18"/>
                <w:szCs w:val="18"/>
                <w:lang w:eastAsia="en-GB"/>
              </w:rPr>
            </w:pPr>
            <w:r w:rsidRPr="00AE06ED">
              <w:rPr>
                <w:rFonts w:cs="Arial"/>
                <w:color w:val="000000"/>
                <w:sz w:val="18"/>
                <w:szCs w:val="18"/>
                <w:lang w:eastAsia="en-GB"/>
              </w:rPr>
              <w:t>The cost of CTC misinterpretation claims £11.4 M every 5 years</w:t>
            </w:r>
          </w:p>
        </w:tc>
      </w:tr>
      <w:tr w:rsidR="007C527F" w:rsidRPr="00B51C27" w14:paraId="79EDEEC8" w14:textId="77777777" w:rsidTr="004A49C1">
        <w:trPr>
          <w:trHeight w:val="2160"/>
        </w:trPr>
        <w:tc>
          <w:tcPr>
            <w:tcW w:w="2269" w:type="dxa"/>
            <w:shd w:val="clear" w:color="auto" w:fill="auto"/>
            <w:vAlign w:val="center"/>
            <w:hideMark/>
          </w:tcPr>
          <w:p w14:paraId="5CC0F771"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Reduction in CNST insurance premium</w:t>
            </w:r>
          </w:p>
        </w:tc>
        <w:tc>
          <w:tcPr>
            <w:tcW w:w="3030" w:type="dxa"/>
            <w:shd w:val="clear" w:color="auto" w:fill="auto"/>
            <w:vAlign w:val="center"/>
            <w:hideMark/>
          </w:tcPr>
          <w:p w14:paraId="71E181A4"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 xml:space="preserve">Reduction in the risk of medico-legal cases and </w:t>
            </w:r>
            <w:proofErr w:type="spellStart"/>
            <w:r w:rsidRPr="00323A2D">
              <w:rPr>
                <w:rFonts w:cs="Arial"/>
                <w:color w:val="000000"/>
                <w:sz w:val="18"/>
                <w:szCs w:val="18"/>
                <w:lang w:eastAsia="en-GB"/>
              </w:rPr>
              <w:t>payouts</w:t>
            </w:r>
            <w:proofErr w:type="spellEnd"/>
            <w:r w:rsidRPr="00323A2D">
              <w:rPr>
                <w:rFonts w:cs="Arial"/>
                <w:color w:val="000000"/>
                <w:sz w:val="18"/>
                <w:szCs w:val="18"/>
                <w:lang w:eastAsia="en-GB"/>
              </w:rPr>
              <w:t xml:space="preserve"> relating to CTG misinterpretation and subsequent reduction in CNST ins</w:t>
            </w:r>
            <w:r>
              <w:rPr>
                <w:rFonts w:cs="Arial"/>
                <w:color w:val="000000"/>
                <w:sz w:val="18"/>
                <w:szCs w:val="18"/>
                <w:lang w:eastAsia="en-GB"/>
              </w:rPr>
              <w:t xml:space="preserve">urance premium.  Reduction in </w:t>
            </w:r>
            <w:r w:rsidRPr="00323A2D">
              <w:rPr>
                <w:rFonts w:cs="Arial"/>
                <w:color w:val="000000"/>
                <w:sz w:val="18"/>
                <w:szCs w:val="18"/>
                <w:lang w:eastAsia="en-GB"/>
              </w:rPr>
              <w:t xml:space="preserve">legal cases </w:t>
            </w:r>
            <w:r>
              <w:rPr>
                <w:rFonts w:cs="Arial"/>
                <w:color w:val="000000"/>
                <w:sz w:val="18"/>
                <w:szCs w:val="18"/>
                <w:lang w:eastAsia="en-GB"/>
              </w:rPr>
              <w:t xml:space="preserve">which cannot be defended </w:t>
            </w:r>
            <w:r w:rsidRPr="00323A2D">
              <w:rPr>
                <w:rFonts w:cs="Arial"/>
                <w:color w:val="000000"/>
                <w:sz w:val="18"/>
                <w:szCs w:val="18"/>
                <w:lang w:eastAsia="en-GB"/>
              </w:rPr>
              <w:t>due to unlabe</w:t>
            </w:r>
            <w:r>
              <w:rPr>
                <w:rFonts w:cs="Arial"/>
                <w:color w:val="000000"/>
                <w:sz w:val="18"/>
                <w:szCs w:val="18"/>
                <w:lang w:eastAsia="en-GB"/>
              </w:rPr>
              <w:t>lle</w:t>
            </w:r>
            <w:r w:rsidRPr="00323A2D">
              <w:rPr>
                <w:rFonts w:cs="Arial"/>
                <w:color w:val="000000"/>
                <w:sz w:val="18"/>
                <w:szCs w:val="18"/>
                <w:lang w:eastAsia="en-GB"/>
              </w:rPr>
              <w:t xml:space="preserve">d or lost </w:t>
            </w:r>
            <w:proofErr w:type="gramStart"/>
            <w:r w:rsidRPr="00323A2D">
              <w:rPr>
                <w:rFonts w:cs="Arial"/>
                <w:color w:val="000000"/>
                <w:sz w:val="18"/>
                <w:szCs w:val="18"/>
                <w:lang w:eastAsia="en-GB"/>
              </w:rPr>
              <w:t>CTGs  Approximately</w:t>
            </w:r>
            <w:proofErr w:type="gramEnd"/>
            <w:r w:rsidRPr="00323A2D">
              <w:rPr>
                <w:rFonts w:cs="Arial"/>
                <w:color w:val="000000"/>
                <w:sz w:val="18"/>
                <w:szCs w:val="18"/>
                <w:lang w:eastAsia="en-GB"/>
              </w:rPr>
              <w:t xml:space="preserve"> 2 CTGs a month are found not be labelled. </w:t>
            </w:r>
          </w:p>
        </w:tc>
        <w:tc>
          <w:tcPr>
            <w:tcW w:w="939" w:type="dxa"/>
            <w:shd w:val="clear" w:color="auto" w:fill="auto"/>
            <w:vAlign w:val="center"/>
            <w:hideMark/>
          </w:tcPr>
          <w:p w14:paraId="73375760"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CR</w:t>
            </w:r>
          </w:p>
        </w:tc>
        <w:tc>
          <w:tcPr>
            <w:tcW w:w="1781" w:type="dxa"/>
            <w:shd w:val="clear" w:color="auto" w:fill="auto"/>
            <w:vAlign w:val="center"/>
            <w:hideMark/>
          </w:tcPr>
          <w:p w14:paraId="2D20062C"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Cost of premium</w:t>
            </w:r>
          </w:p>
        </w:tc>
        <w:tc>
          <w:tcPr>
            <w:tcW w:w="1196" w:type="dxa"/>
            <w:shd w:val="clear" w:color="auto" w:fill="auto"/>
            <w:vAlign w:val="center"/>
            <w:hideMark/>
          </w:tcPr>
          <w:p w14:paraId="4099890C"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Cost of Premium</w:t>
            </w:r>
            <w:r w:rsidRPr="00323A2D">
              <w:rPr>
                <w:rFonts w:cs="Arial"/>
                <w:color w:val="000000"/>
                <w:sz w:val="18"/>
                <w:szCs w:val="18"/>
                <w:lang w:eastAsia="en-GB"/>
              </w:rPr>
              <w:br/>
            </w:r>
            <w:r w:rsidRPr="00323A2D">
              <w:rPr>
                <w:rFonts w:cs="Arial"/>
                <w:color w:val="000000"/>
                <w:sz w:val="18"/>
                <w:szCs w:val="18"/>
                <w:lang w:eastAsia="en-GB"/>
              </w:rPr>
              <w:br/>
              <w:t>Approximately 2 CTGs a month are found not be labelled.</w:t>
            </w:r>
          </w:p>
        </w:tc>
        <w:tc>
          <w:tcPr>
            <w:tcW w:w="1214" w:type="dxa"/>
            <w:shd w:val="clear" w:color="auto" w:fill="auto"/>
            <w:vAlign w:val="center"/>
            <w:hideMark/>
          </w:tcPr>
          <w:p w14:paraId="5D2B5AA3"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 </w:t>
            </w:r>
          </w:p>
        </w:tc>
        <w:tc>
          <w:tcPr>
            <w:tcW w:w="1741" w:type="dxa"/>
          </w:tcPr>
          <w:p w14:paraId="634111C7" w14:textId="77777777" w:rsidR="007C527F" w:rsidRPr="00323A2D" w:rsidRDefault="007C527F" w:rsidP="004A49C1">
            <w:pPr>
              <w:spacing w:after="0"/>
              <w:textboxTightWrap w:val="none"/>
              <w:rPr>
                <w:rFonts w:cs="Arial"/>
                <w:color w:val="000000"/>
                <w:sz w:val="18"/>
                <w:szCs w:val="18"/>
                <w:lang w:eastAsia="en-GB"/>
              </w:rPr>
            </w:pPr>
            <w:r>
              <w:rPr>
                <w:rFonts w:cs="Arial"/>
                <w:color w:val="000000"/>
                <w:sz w:val="18"/>
                <w:szCs w:val="18"/>
                <w:lang w:eastAsia="en-GB"/>
              </w:rPr>
              <w:t>N</w:t>
            </w:r>
            <w:r w:rsidRPr="0039530A">
              <w:rPr>
                <w:rFonts w:cs="Arial"/>
                <w:color w:val="000000"/>
                <w:sz w:val="18"/>
                <w:szCs w:val="18"/>
                <w:lang w:eastAsia="en-GB"/>
              </w:rPr>
              <w:t>o reported unlabelled CTGs reported since go live</w:t>
            </w:r>
          </w:p>
        </w:tc>
        <w:tc>
          <w:tcPr>
            <w:tcW w:w="1741" w:type="dxa"/>
            <w:vAlign w:val="center"/>
          </w:tcPr>
          <w:p w14:paraId="5253F514" w14:textId="77777777" w:rsidR="007C527F" w:rsidRPr="00323A2D" w:rsidRDefault="007C527F" w:rsidP="004A49C1">
            <w:pPr>
              <w:spacing w:after="0"/>
              <w:textboxTightWrap w:val="none"/>
              <w:rPr>
                <w:rFonts w:cs="Arial"/>
                <w:color w:val="000000"/>
                <w:sz w:val="18"/>
                <w:szCs w:val="18"/>
                <w:lang w:eastAsia="en-GB"/>
              </w:rPr>
            </w:pPr>
            <w:r>
              <w:rPr>
                <w:rFonts w:cs="Arial"/>
                <w:color w:val="000000"/>
                <w:sz w:val="18"/>
                <w:szCs w:val="18"/>
                <w:lang w:eastAsia="en-GB"/>
              </w:rPr>
              <w:t>Premiums will decrease due to increase in safety/less likelihood of CTG misinterpretation</w:t>
            </w:r>
          </w:p>
        </w:tc>
      </w:tr>
      <w:tr w:rsidR="007C527F" w:rsidRPr="00B51C27" w14:paraId="2642A8EC" w14:textId="77777777" w:rsidTr="004A49C1">
        <w:trPr>
          <w:trHeight w:val="1200"/>
        </w:trPr>
        <w:tc>
          <w:tcPr>
            <w:tcW w:w="2269" w:type="dxa"/>
            <w:shd w:val="clear" w:color="auto" w:fill="auto"/>
            <w:vAlign w:val="center"/>
            <w:hideMark/>
          </w:tcPr>
          <w:p w14:paraId="37EE6BCA"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 xml:space="preserve">The Risk Manager will save time not having to look for missing CTGs  </w:t>
            </w:r>
          </w:p>
        </w:tc>
        <w:tc>
          <w:tcPr>
            <w:tcW w:w="3030" w:type="dxa"/>
            <w:shd w:val="clear" w:color="auto" w:fill="auto"/>
            <w:vAlign w:val="center"/>
            <w:hideMark/>
          </w:tcPr>
          <w:p w14:paraId="50A9E50C"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 xml:space="preserve">Elimination of the risk of losing CTG traces with the ability to store both the CTG outputs and the </w:t>
            </w:r>
            <w:proofErr w:type="gramStart"/>
            <w:r w:rsidRPr="00323A2D">
              <w:rPr>
                <w:rFonts w:cs="Arial"/>
                <w:color w:val="000000"/>
                <w:sz w:val="18"/>
                <w:szCs w:val="18"/>
                <w:lang w:eastAsia="en-GB"/>
              </w:rPr>
              <w:t>clinicians</w:t>
            </w:r>
            <w:proofErr w:type="gramEnd"/>
            <w:r w:rsidRPr="00323A2D">
              <w:rPr>
                <w:rFonts w:cs="Arial"/>
                <w:color w:val="000000"/>
                <w:sz w:val="18"/>
                <w:szCs w:val="18"/>
                <w:lang w:eastAsia="en-GB"/>
              </w:rPr>
              <w:t xml:space="preserve"> comments, timing of comments and actions, electronically</w:t>
            </w:r>
          </w:p>
        </w:tc>
        <w:tc>
          <w:tcPr>
            <w:tcW w:w="939" w:type="dxa"/>
            <w:shd w:val="clear" w:color="auto" w:fill="auto"/>
            <w:vAlign w:val="center"/>
            <w:hideMark/>
          </w:tcPr>
          <w:p w14:paraId="20C4CDD6"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NCR</w:t>
            </w:r>
          </w:p>
        </w:tc>
        <w:tc>
          <w:tcPr>
            <w:tcW w:w="1781" w:type="dxa"/>
            <w:shd w:val="clear" w:color="auto" w:fill="auto"/>
            <w:vAlign w:val="center"/>
            <w:hideMark/>
          </w:tcPr>
          <w:p w14:paraId="3919415E"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Interview with Risk Manager</w:t>
            </w:r>
          </w:p>
        </w:tc>
        <w:tc>
          <w:tcPr>
            <w:tcW w:w="1196" w:type="dxa"/>
            <w:shd w:val="clear" w:color="auto" w:fill="auto"/>
            <w:vAlign w:val="center"/>
            <w:hideMark/>
          </w:tcPr>
          <w:p w14:paraId="18ED7696"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32 hours pa</w:t>
            </w:r>
          </w:p>
        </w:tc>
        <w:tc>
          <w:tcPr>
            <w:tcW w:w="1214" w:type="dxa"/>
            <w:shd w:val="clear" w:color="auto" w:fill="auto"/>
            <w:vAlign w:val="center"/>
            <w:hideMark/>
          </w:tcPr>
          <w:p w14:paraId="68EB1E40"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 </w:t>
            </w:r>
            <w:r>
              <w:rPr>
                <w:rFonts w:cs="Arial"/>
                <w:color w:val="000000"/>
                <w:sz w:val="18"/>
                <w:szCs w:val="18"/>
                <w:lang w:eastAsia="en-GB"/>
              </w:rPr>
              <w:t>0 hours</w:t>
            </w:r>
          </w:p>
        </w:tc>
        <w:tc>
          <w:tcPr>
            <w:tcW w:w="1741" w:type="dxa"/>
          </w:tcPr>
          <w:p w14:paraId="1EF45B36" w14:textId="77777777" w:rsidR="007C527F" w:rsidRPr="00323A2D" w:rsidRDefault="007C527F" w:rsidP="004A49C1">
            <w:pPr>
              <w:spacing w:after="0"/>
              <w:textboxTightWrap w:val="none"/>
              <w:rPr>
                <w:rFonts w:cs="Arial"/>
                <w:color w:val="000000"/>
                <w:sz w:val="18"/>
                <w:szCs w:val="18"/>
                <w:lang w:eastAsia="en-GB"/>
              </w:rPr>
            </w:pPr>
            <w:r>
              <w:rPr>
                <w:rFonts w:cs="Arial"/>
                <w:color w:val="000000"/>
                <w:sz w:val="18"/>
                <w:szCs w:val="18"/>
                <w:lang w:eastAsia="en-GB"/>
              </w:rPr>
              <w:t xml:space="preserve">Not fully realised, due to CTG not being associated, </w:t>
            </w:r>
            <w:r w:rsidRPr="0095203D">
              <w:rPr>
                <w:rFonts w:cs="Arial"/>
                <w:color w:val="000000"/>
                <w:sz w:val="18"/>
                <w:szCs w:val="18"/>
                <w:lang w:eastAsia="en-GB"/>
              </w:rPr>
              <w:t>2 cases noted in the last 3 months where a CTG had been missing</w:t>
            </w:r>
          </w:p>
        </w:tc>
        <w:tc>
          <w:tcPr>
            <w:tcW w:w="1741" w:type="dxa"/>
            <w:vAlign w:val="center"/>
          </w:tcPr>
          <w:p w14:paraId="1F5BF7EB"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Looking for lost CTGs – Band 8 32 hours a year</w:t>
            </w:r>
          </w:p>
        </w:tc>
      </w:tr>
      <w:tr w:rsidR="007C527F" w:rsidRPr="00B51C27" w14:paraId="0168E721" w14:textId="77777777" w:rsidTr="004A49C1">
        <w:trPr>
          <w:trHeight w:val="1920"/>
        </w:trPr>
        <w:tc>
          <w:tcPr>
            <w:tcW w:w="2269" w:type="dxa"/>
            <w:shd w:val="clear" w:color="auto" w:fill="auto"/>
            <w:vAlign w:val="center"/>
            <w:hideMark/>
          </w:tcPr>
          <w:p w14:paraId="66572233"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CTG and vital signs monitoring fully integrated into the EPR saving the Risk Manager time as scanni</w:t>
            </w:r>
            <w:r>
              <w:rPr>
                <w:rFonts w:cs="Arial"/>
                <w:color w:val="000000"/>
                <w:sz w:val="18"/>
                <w:szCs w:val="18"/>
                <w:lang w:eastAsia="en-GB"/>
              </w:rPr>
              <w:t>n</w:t>
            </w:r>
            <w:r w:rsidRPr="00323A2D">
              <w:rPr>
                <w:rFonts w:cs="Arial"/>
                <w:color w:val="000000"/>
                <w:sz w:val="18"/>
                <w:szCs w:val="18"/>
                <w:lang w:eastAsia="en-GB"/>
              </w:rPr>
              <w:t xml:space="preserve">g CTCs is no longer required  </w:t>
            </w:r>
          </w:p>
        </w:tc>
        <w:tc>
          <w:tcPr>
            <w:tcW w:w="3030" w:type="dxa"/>
            <w:shd w:val="clear" w:color="auto" w:fill="auto"/>
            <w:vAlign w:val="center"/>
            <w:hideMark/>
          </w:tcPr>
          <w:p w14:paraId="37C7EEC5"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 xml:space="preserve">CTGs fade, and if a CTG is needed for training purposes or </w:t>
            </w:r>
            <w:proofErr w:type="gramStart"/>
            <w:r w:rsidRPr="00323A2D">
              <w:rPr>
                <w:rFonts w:cs="Arial"/>
                <w:color w:val="000000"/>
                <w:sz w:val="18"/>
                <w:szCs w:val="18"/>
                <w:lang w:eastAsia="en-GB"/>
              </w:rPr>
              <w:t>has to</w:t>
            </w:r>
            <w:proofErr w:type="gramEnd"/>
            <w:r w:rsidRPr="00323A2D">
              <w:rPr>
                <w:rFonts w:cs="Arial"/>
                <w:color w:val="000000"/>
                <w:sz w:val="18"/>
                <w:szCs w:val="18"/>
                <w:lang w:eastAsia="en-GB"/>
              </w:rPr>
              <w:t xml:space="preserve"> be reviewed as part of an investigation of a Serious incident, the CTG must be copied and scanned.   </w:t>
            </w:r>
          </w:p>
        </w:tc>
        <w:tc>
          <w:tcPr>
            <w:tcW w:w="939" w:type="dxa"/>
            <w:shd w:val="clear" w:color="auto" w:fill="auto"/>
            <w:vAlign w:val="center"/>
            <w:hideMark/>
          </w:tcPr>
          <w:p w14:paraId="0C1FD928"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NCR</w:t>
            </w:r>
          </w:p>
        </w:tc>
        <w:tc>
          <w:tcPr>
            <w:tcW w:w="1781" w:type="dxa"/>
            <w:shd w:val="clear" w:color="auto" w:fill="auto"/>
            <w:vAlign w:val="center"/>
            <w:hideMark/>
          </w:tcPr>
          <w:p w14:paraId="3CDA81FD"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Interview with Risk Manager</w:t>
            </w:r>
          </w:p>
        </w:tc>
        <w:tc>
          <w:tcPr>
            <w:tcW w:w="1196" w:type="dxa"/>
            <w:shd w:val="clear" w:color="auto" w:fill="auto"/>
            <w:vAlign w:val="center"/>
            <w:hideMark/>
          </w:tcPr>
          <w:p w14:paraId="25B99211"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48 hours</w:t>
            </w:r>
            <w:r w:rsidRPr="00323A2D">
              <w:rPr>
                <w:rFonts w:cs="Arial"/>
                <w:color w:val="0F0F0F"/>
                <w:sz w:val="18"/>
                <w:szCs w:val="18"/>
                <w:lang w:eastAsia="en-GB"/>
              </w:rPr>
              <w:t xml:space="preserve"> pa</w:t>
            </w:r>
          </w:p>
        </w:tc>
        <w:tc>
          <w:tcPr>
            <w:tcW w:w="1214" w:type="dxa"/>
            <w:shd w:val="clear" w:color="auto" w:fill="auto"/>
            <w:vAlign w:val="center"/>
            <w:hideMark/>
          </w:tcPr>
          <w:p w14:paraId="5B2550C5" w14:textId="77777777" w:rsidR="007C527F" w:rsidRPr="00323A2D" w:rsidRDefault="007C527F" w:rsidP="004A49C1">
            <w:pPr>
              <w:spacing w:after="0"/>
              <w:textboxTightWrap w:val="none"/>
              <w:rPr>
                <w:rFonts w:cs="Arial"/>
                <w:color w:val="000000"/>
                <w:sz w:val="18"/>
                <w:szCs w:val="18"/>
                <w:lang w:eastAsia="en-GB"/>
              </w:rPr>
            </w:pPr>
            <w:r w:rsidRPr="00323A2D">
              <w:rPr>
                <w:rFonts w:cs="Arial"/>
                <w:color w:val="000000"/>
                <w:sz w:val="18"/>
                <w:szCs w:val="18"/>
                <w:lang w:eastAsia="en-GB"/>
              </w:rPr>
              <w:t> </w:t>
            </w:r>
            <w:r>
              <w:rPr>
                <w:rFonts w:cs="Arial"/>
                <w:color w:val="000000"/>
                <w:sz w:val="18"/>
                <w:szCs w:val="18"/>
                <w:lang w:eastAsia="en-GB"/>
              </w:rPr>
              <w:t xml:space="preserve">0 hours </w:t>
            </w:r>
          </w:p>
        </w:tc>
        <w:tc>
          <w:tcPr>
            <w:tcW w:w="1741" w:type="dxa"/>
          </w:tcPr>
          <w:p w14:paraId="4198710E" w14:textId="77777777" w:rsidR="007C527F" w:rsidRPr="00323A2D" w:rsidRDefault="007C527F" w:rsidP="004A49C1">
            <w:pPr>
              <w:spacing w:after="0"/>
              <w:textboxTightWrap w:val="none"/>
              <w:rPr>
                <w:rFonts w:cs="Arial"/>
                <w:color w:val="000000"/>
                <w:sz w:val="18"/>
                <w:szCs w:val="18"/>
                <w:lang w:eastAsia="en-GB"/>
              </w:rPr>
            </w:pPr>
            <w:r>
              <w:rPr>
                <w:rFonts w:cs="Arial"/>
                <w:color w:val="000000"/>
                <w:sz w:val="18"/>
                <w:szCs w:val="18"/>
                <w:lang w:eastAsia="en-GB"/>
              </w:rPr>
              <w:t xml:space="preserve">Scanning is still required but is quicker via pdfs copied in </w:t>
            </w:r>
            <w:proofErr w:type="spellStart"/>
            <w:r>
              <w:rPr>
                <w:rFonts w:cs="Arial"/>
                <w:color w:val="000000"/>
                <w:sz w:val="18"/>
                <w:szCs w:val="18"/>
                <w:lang w:eastAsia="en-GB"/>
              </w:rPr>
              <w:t>Datix</w:t>
            </w:r>
            <w:proofErr w:type="spellEnd"/>
            <w:r>
              <w:rPr>
                <w:rFonts w:cs="Arial"/>
                <w:color w:val="000000"/>
                <w:sz w:val="18"/>
                <w:szCs w:val="18"/>
                <w:lang w:eastAsia="en-GB"/>
              </w:rPr>
              <w:t>’</w:t>
            </w:r>
          </w:p>
        </w:tc>
        <w:tc>
          <w:tcPr>
            <w:tcW w:w="1741" w:type="dxa"/>
            <w:vAlign w:val="center"/>
          </w:tcPr>
          <w:p w14:paraId="1035F79C" w14:textId="77777777" w:rsidR="007C527F" w:rsidRPr="00323A2D" w:rsidRDefault="007C527F" w:rsidP="004A49C1">
            <w:pPr>
              <w:spacing w:after="0"/>
              <w:textboxTightWrap w:val="none"/>
              <w:rPr>
                <w:rFonts w:cs="Arial"/>
                <w:color w:val="000000"/>
                <w:sz w:val="18"/>
                <w:szCs w:val="18"/>
                <w:lang w:eastAsia="en-GB"/>
              </w:rPr>
            </w:pPr>
            <w:r>
              <w:rPr>
                <w:rFonts w:cs="Arial"/>
                <w:color w:val="000000"/>
                <w:sz w:val="18"/>
                <w:szCs w:val="18"/>
                <w:lang w:eastAsia="en-GB"/>
              </w:rPr>
              <w:t>A</w:t>
            </w:r>
            <w:r w:rsidRPr="00323A2D">
              <w:rPr>
                <w:rFonts w:cs="Arial"/>
                <w:color w:val="000000"/>
                <w:sz w:val="18"/>
                <w:szCs w:val="18"/>
                <w:lang w:eastAsia="en-GB"/>
              </w:rPr>
              <w:t xml:space="preserve"> minimum of 2 CTG to scan a month </w:t>
            </w:r>
          </w:p>
        </w:tc>
      </w:tr>
      <w:tr w:rsidR="007C527F" w:rsidRPr="00B51C27" w14:paraId="164FFB87" w14:textId="77777777" w:rsidTr="004A49C1">
        <w:trPr>
          <w:trHeight w:val="2160"/>
        </w:trPr>
        <w:tc>
          <w:tcPr>
            <w:tcW w:w="2269" w:type="dxa"/>
            <w:shd w:val="clear" w:color="auto" w:fill="auto"/>
            <w:vAlign w:val="center"/>
          </w:tcPr>
          <w:p w14:paraId="30778D18" w14:textId="77777777" w:rsidR="007C527F" w:rsidRPr="00323A2D" w:rsidRDefault="007C527F" w:rsidP="004A49C1">
            <w:pPr>
              <w:spacing w:after="0"/>
              <w:textboxTightWrap w:val="none"/>
              <w:rPr>
                <w:rFonts w:cs="Arial"/>
                <w:color w:val="000000"/>
                <w:sz w:val="18"/>
                <w:szCs w:val="18"/>
                <w:lang w:eastAsia="en-GB"/>
              </w:rPr>
            </w:pPr>
            <w:r>
              <w:rPr>
                <w:rFonts w:cs="Arial"/>
                <w:color w:val="000000"/>
                <w:sz w:val="18"/>
                <w:szCs w:val="18"/>
                <w:lang w:eastAsia="en-GB"/>
              </w:rPr>
              <w:lastRenderedPageBreak/>
              <w:t xml:space="preserve">One true source </w:t>
            </w:r>
            <w:proofErr w:type="gramStart"/>
            <w:r>
              <w:rPr>
                <w:rFonts w:cs="Arial"/>
                <w:color w:val="000000"/>
                <w:sz w:val="18"/>
                <w:szCs w:val="18"/>
                <w:lang w:eastAsia="en-GB"/>
              </w:rPr>
              <w:t>of  information</w:t>
            </w:r>
            <w:proofErr w:type="gramEnd"/>
            <w:r>
              <w:rPr>
                <w:rFonts w:cs="Arial"/>
                <w:color w:val="000000"/>
                <w:sz w:val="18"/>
                <w:szCs w:val="18"/>
                <w:lang w:eastAsia="en-GB"/>
              </w:rPr>
              <w:t>, as r</w:t>
            </w:r>
            <w:r w:rsidRPr="00323A2D">
              <w:rPr>
                <w:rFonts w:cs="Arial"/>
                <w:color w:val="000000"/>
                <w:sz w:val="18"/>
                <w:szCs w:val="18"/>
                <w:lang w:eastAsia="en-GB"/>
              </w:rPr>
              <w:t>eduction in risk of data entry in multiple places resulting in a reduction in clinical risk</w:t>
            </w:r>
          </w:p>
        </w:tc>
        <w:tc>
          <w:tcPr>
            <w:tcW w:w="3030" w:type="dxa"/>
            <w:shd w:val="clear" w:color="auto" w:fill="auto"/>
            <w:vAlign w:val="center"/>
          </w:tcPr>
          <w:p w14:paraId="756C9CB8" w14:textId="77777777" w:rsidR="007C527F" w:rsidRPr="00323A2D" w:rsidRDefault="007C527F" w:rsidP="004A49C1">
            <w:pPr>
              <w:spacing w:after="0"/>
              <w:textboxTightWrap w:val="none"/>
              <w:rPr>
                <w:rFonts w:cs="Arial"/>
                <w:color w:val="000000"/>
                <w:sz w:val="18"/>
                <w:szCs w:val="18"/>
                <w:lang w:eastAsia="en-GB"/>
              </w:rPr>
            </w:pPr>
            <w:r>
              <w:rPr>
                <w:rFonts w:cs="Arial"/>
                <w:color w:val="000000"/>
                <w:sz w:val="18"/>
                <w:szCs w:val="18"/>
                <w:lang w:eastAsia="en-GB"/>
              </w:rPr>
              <w:t>R</w:t>
            </w:r>
            <w:r w:rsidRPr="00323A2D">
              <w:rPr>
                <w:rFonts w:cs="Arial"/>
                <w:color w:val="000000"/>
                <w:sz w:val="18"/>
                <w:szCs w:val="18"/>
                <w:lang w:eastAsia="en-GB"/>
              </w:rPr>
              <w:t>eduction in risk of data entry in multiple places (</w:t>
            </w:r>
            <w:proofErr w:type="spellStart"/>
            <w:r w:rsidRPr="00323A2D">
              <w:rPr>
                <w:rFonts w:cs="Arial"/>
                <w:color w:val="000000"/>
                <w:sz w:val="18"/>
                <w:szCs w:val="18"/>
                <w:lang w:eastAsia="en-GB"/>
              </w:rPr>
              <w:t>eg</w:t>
            </w:r>
            <w:proofErr w:type="spellEnd"/>
            <w:r w:rsidRPr="00323A2D">
              <w:rPr>
                <w:rFonts w:cs="Arial"/>
                <w:color w:val="000000"/>
                <w:sz w:val="18"/>
                <w:szCs w:val="18"/>
                <w:lang w:eastAsia="en-GB"/>
              </w:rPr>
              <w:t xml:space="preserve"> </w:t>
            </w:r>
            <w:proofErr w:type="spellStart"/>
            <w:r w:rsidRPr="00323A2D">
              <w:rPr>
                <w:rFonts w:cs="Arial"/>
                <w:color w:val="000000"/>
                <w:sz w:val="18"/>
                <w:szCs w:val="18"/>
                <w:lang w:eastAsia="en-GB"/>
              </w:rPr>
              <w:t>PowerChart</w:t>
            </w:r>
            <w:proofErr w:type="spellEnd"/>
            <w:r w:rsidRPr="00323A2D">
              <w:rPr>
                <w:rFonts w:cs="Arial"/>
                <w:color w:val="000000"/>
                <w:sz w:val="18"/>
                <w:szCs w:val="18"/>
                <w:lang w:eastAsia="en-GB"/>
              </w:rPr>
              <w:t xml:space="preserve"> Maternity and the paper notes) resulting in a reduction in clinical risk </w:t>
            </w:r>
          </w:p>
        </w:tc>
        <w:tc>
          <w:tcPr>
            <w:tcW w:w="939" w:type="dxa"/>
            <w:shd w:val="clear" w:color="auto" w:fill="auto"/>
            <w:vAlign w:val="center"/>
          </w:tcPr>
          <w:p w14:paraId="62C543BA" w14:textId="77777777" w:rsidR="007C527F" w:rsidRPr="00323A2D" w:rsidRDefault="007C527F" w:rsidP="004A49C1">
            <w:pPr>
              <w:spacing w:after="0"/>
              <w:textboxTightWrap w:val="none"/>
              <w:rPr>
                <w:rFonts w:cs="Arial"/>
                <w:color w:val="000000"/>
                <w:sz w:val="18"/>
                <w:szCs w:val="18"/>
                <w:lang w:eastAsia="en-GB"/>
              </w:rPr>
            </w:pPr>
            <w:r>
              <w:rPr>
                <w:rFonts w:cs="Arial"/>
                <w:color w:val="000000"/>
                <w:sz w:val="18"/>
                <w:szCs w:val="18"/>
                <w:lang w:eastAsia="en-GB"/>
              </w:rPr>
              <w:t>Q</w:t>
            </w:r>
          </w:p>
        </w:tc>
        <w:tc>
          <w:tcPr>
            <w:tcW w:w="1781" w:type="dxa"/>
            <w:shd w:val="clear" w:color="auto" w:fill="auto"/>
            <w:vAlign w:val="center"/>
          </w:tcPr>
          <w:p w14:paraId="44C428FC" w14:textId="77777777" w:rsidR="007C527F" w:rsidRPr="00323A2D" w:rsidRDefault="007C527F" w:rsidP="004A49C1">
            <w:pPr>
              <w:spacing w:after="0"/>
              <w:textboxTightWrap w:val="none"/>
              <w:rPr>
                <w:rFonts w:cs="Arial"/>
                <w:color w:val="000000"/>
                <w:sz w:val="18"/>
                <w:szCs w:val="18"/>
                <w:lang w:eastAsia="en-GB"/>
              </w:rPr>
            </w:pPr>
            <w:r>
              <w:rPr>
                <w:rFonts w:cs="Arial"/>
                <w:color w:val="000000"/>
                <w:sz w:val="18"/>
                <w:szCs w:val="18"/>
                <w:lang w:eastAsia="en-GB"/>
              </w:rPr>
              <w:t>Staff interviews</w:t>
            </w:r>
          </w:p>
        </w:tc>
        <w:tc>
          <w:tcPr>
            <w:tcW w:w="1196" w:type="dxa"/>
            <w:shd w:val="clear" w:color="auto" w:fill="auto"/>
            <w:vAlign w:val="center"/>
          </w:tcPr>
          <w:p w14:paraId="34653366" w14:textId="77777777" w:rsidR="007C527F" w:rsidRPr="00323A2D" w:rsidRDefault="007C527F" w:rsidP="004A49C1">
            <w:pPr>
              <w:spacing w:after="0"/>
              <w:textboxTightWrap w:val="none"/>
              <w:rPr>
                <w:rFonts w:cs="Arial"/>
                <w:color w:val="000000"/>
                <w:sz w:val="18"/>
                <w:szCs w:val="18"/>
                <w:lang w:eastAsia="en-GB"/>
              </w:rPr>
            </w:pPr>
          </w:p>
        </w:tc>
        <w:tc>
          <w:tcPr>
            <w:tcW w:w="1214" w:type="dxa"/>
            <w:shd w:val="clear" w:color="auto" w:fill="auto"/>
            <w:vAlign w:val="center"/>
          </w:tcPr>
          <w:p w14:paraId="2971A074" w14:textId="77777777" w:rsidR="007C527F" w:rsidRPr="00323A2D" w:rsidRDefault="007C527F" w:rsidP="004A49C1">
            <w:pPr>
              <w:spacing w:after="0"/>
              <w:textboxTightWrap w:val="none"/>
              <w:rPr>
                <w:rFonts w:cs="Arial"/>
                <w:color w:val="000000"/>
                <w:sz w:val="18"/>
                <w:szCs w:val="18"/>
                <w:lang w:eastAsia="en-GB"/>
              </w:rPr>
            </w:pPr>
          </w:p>
        </w:tc>
        <w:tc>
          <w:tcPr>
            <w:tcW w:w="1741" w:type="dxa"/>
          </w:tcPr>
          <w:p w14:paraId="07255829" w14:textId="77777777" w:rsidR="007C527F" w:rsidRPr="00323A2D" w:rsidRDefault="007C527F" w:rsidP="004A49C1">
            <w:pPr>
              <w:spacing w:after="0"/>
              <w:textboxTightWrap w:val="none"/>
              <w:rPr>
                <w:rFonts w:cs="Arial"/>
                <w:color w:val="000000"/>
                <w:sz w:val="18"/>
                <w:szCs w:val="18"/>
                <w:lang w:eastAsia="en-GB"/>
              </w:rPr>
            </w:pPr>
            <w:r>
              <w:rPr>
                <w:rFonts w:cs="Arial"/>
                <w:color w:val="000000"/>
                <w:sz w:val="18"/>
                <w:szCs w:val="18"/>
                <w:lang w:eastAsia="en-GB"/>
              </w:rPr>
              <w:t xml:space="preserve">No more duplication </w:t>
            </w:r>
          </w:p>
        </w:tc>
        <w:tc>
          <w:tcPr>
            <w:tcW w:w="1741" w:type="dxa"/>
            <w:vAlign w:val="center"/>
          </w:tcPr>
          <w:p w14:paraId="3EB3E474" w14:textId="77777777" w:rsidR="007C527F" w:rsidRPr="00323A2D" w:rsidRDefault="007C527F" w:rsidP="004A49C1">
            <w:pPr>
              <w:spacing w:after="0"/>
              <w:textboxTightWrap w:val="none"/>
              <w:rPr>
                <w:rFonts w:cs="Arial"/>
                <w:color w:val="000000"/>
                <w:sz w:val="18"/>
                <w:szCs w:val="18"/>
                <w:lang w:eastAsia="en-GB"/>
              </w:rPr>
            </w:pPr>
          </w:p>
        </w:tc>
      </w:tr>
      <w:tr w:rsidR="007C527F" w:rsidRPr="00B51C27" w14:paraId="0D93EA79" w14:textId="77777777" w:rsidTr="004A49C1">
        <w:trPr>
          <w:trHeight w:val="2160"/>
        </w:trPr>
        <w:tc>
          <w:tcPr>
            <w:tcW w:w="2269" w:type="dxa"/>
            <w:shd w:val="clear" w:color="auto" w:fill="auto"/>
            <w:vAlign w:val="center"/>
          </w:tcPr>
          <w:p w14:paraId="1571252A" w14:textId="77777777" w:rsidR="007C527F" w:rsidRDefault="007C527F" w:rsidP="004A49C1">
            <w:pPr>
              <w:spacing w:after="0"/>
              <w:textboxTightWrap w:val="none"/>
              <w:rPr>
                <w:rFonts w:cs="Arial"/>
                <w:color w:val="000000"/>
                <w:sz w:val="18"/>
                <w:szCs w:val="18"/>
                <w:lang w:eastAsia="en-GB"/>
              </w:rPr>
            </w:pPr>
            <w:r>
              <w:rPr>
                <w:rFonts w:cs="Arial"/>
                <w:color w:val="000000"/>
                <w:sz w:val="18"/>
                <w:szCs w:val="18"/>
                <w:lang w:eastAsia="en-GB"/>
              </w:rPr>
              <w:t>Adherence to Standards</w:t>
            </w:r>
          </w:p>
        </w:tc>
        <w:tc>
          <w:tcPr>
            <w:tcW w:w="3030" w:type="dxa"/>
            <w:shd w:val="clear" w:color="auto" w:fill="auto"/>
            <w:vAlign w:val="center"/>
          </w:tcPr>
          <w:p w14:paraId="30AB7BCC" w14:textId="77777777" w:rsidR="007C527F" w:rsidRPr="00924714" w:rsidRDefault="007C527F" w:rsidP="004A49C1">
            <w:pPr>
              <w:pStyle w:val="Bulletlist"/>
              <w:rPr>
                <w:rFonts w:cs="Arial"/>
                <w:color w:val="000000"/>
                <w:sz w:val="18"/>
                <w:szCs w:val="18"/>
                <w:lang w:eastAsia="en-GB"/>
              </w:rPr>
            </w:pPr>
            <w:r w:rsidRPr="00924714">
              <w:rPr>
                <w:rFonts w:cs="Arial"/>
                <w:color w:val="000000"/>
                <w:sz w:val="18"/>
                <w:szCs w:val="18"/>
                <w:lang w:eastAsia="en-GB"/>
              </w:rPr>
              <w:t xml:space="preserve">There will be 100% adherence to the trust’s continuous </w:t>
            </w:r>
            <w:r>
              <w:rPr>
                <w:rFonts w:cs="Arial"/>
                <w:color w:val="000000"/>
                <w:sz w:val="18"/>
                <w:szCs w:val="18"/>
                <w:lang w:eastAsia="en-GB"/>
              </w:rPr>
              <w:t>foetal</w:t>
            </w:r>
            <w:r w:rsidRPr="00924714">
              <w:rPr>
                <w:rFonts w:cs="Arial"/>
                <w:color w:val="000000"/>
                <w:sz w:val="18"/>
                <w:szCs w:val="18"/>
                <w:lang w:eastAsia="en-GB"/>
              </w:rPr>
              <w:t xml:space="preserve"> monitoring policy</w:t>
            </w:r>
          </w:p>
        </w:tc>
        <w:tc>
          <w:tcPr>
            <w:tcW w:w="939" w:type="dxa"/>
            <w:shd w:val="clear" w:color="auto" w:fill="auto"/>
            <w:vAlign w:val="center"/>
          </w:tcPr>
          <w:p w14:paraId="3DB91C26" w14:textId="77777777" w:rsidR="007C527F" w:rsidRPr="00323A2D" w:rsidRDefault="007C527F" w:rsidP="004A49C1">
            <w:pPr>
              <w:spacing w:after="0"/>
              <w:textboxTightWrap w:val="none"/>
              <w:rPr>
                <w:rFonts w:cs="Arial"/>
                <w:color w:val="000000"/>
                <w:sz w:val="18"/>
                <w:szCs w:val="18"/>
                <w:lang w:eastAsia="en-GB"/>
              </w:rPr>
            </w:pPr>
            <w:r>
              <w:rPr>
                <w:rFonts w:cs="Arial"/>
                <w:color w:val="000000"/>
                <w:sz w:val="18"/>
                <w:szCs w:val="18"/>
                <w:lang w:eastAsia="en-GB"/>
              </w:rPr>
              <w:t>Q</w:t>
            </w:r>
          </w:p>
        </w:tc>
        <w:tc>
          <w:tcPr>
            <w:tcW w:w="1781" w:type="dxa"/>
            <w:shd w:val="clear" w:color="auto" w:fill="auto"/>
            <w:vAlign w:val="center"/>
          </w:tcPr>
          <w:p w14:paraId="0179ABE2" w14:textId="77777777" w:rsidR="007C527F" w:rsidRPr="00323A2D" w:rsidRDefault="007C527F" w:rsidP="004A49C1">
            <w:pPr>
              <w:spacing w:after="0"/>
              <w:textboxTightWrap w:val="none"/>
              <w:rPr>
                <w:rFonts w:cs="Arial"/>
                <w:color w:val="000000"/>
                <w:sz w:val="18"/>
                <w:szCs w:val="18"/>
                <w:lang w:eastAsia="en-GB"/>
              </w:rPr>
            </w:pPr>
            <w:r>
              <w:rPr>
                <w:rFonts w:cs="Arial"/>
                <w:color w:val="000000"/>
                <w:sz w:val="18"/>
                <w:szCs w:val="18"/>
                <w:lang w:eastAsia="en-GB"/>
              </w:rPr>
              <w:t>Audit</w:t>
            </w:r>
          </w:p>
        </w:tc>
        <w:tc>
          <w:tcPr>
            <w:tcW w:w="1196" w:type="dxa"/>
            <w:shd w:val="clear" w:color="auto" w:fill="auto"/>
            <w:vAlign w:val="center"/>
          </w:tcPr>
          <w:p w14:paraId="33C3BAEB" w14:textId="77777777" w:rsidR="007C527F" w:rsidRPr="00124BB1" w:rsidRDefault="007C527F" w:rsidP="004A49C1">
            <w:pPr>
              <w:spacing w:after="0"/>
              <w:textboxTightWrap w:val="none"/>
              <w:rPr>
                <w:rFonts w:cs="Arial"/>
                <w:color w:val="000000"/>
                <w:sz w:val="18"/>
                <w:szCs w:val="18"/>
                <w:lang w:eastAsia="en-GB"/>
              </w:rPr>
            </w:pPr>
          </w:p>
        </w:tc>
        <w:tc>
          <w:tcPr>
            <w:tcW w:w="1214" w:type="dxa"/>
            <w:shd w:val="clear" w:color="auto" w:fill="auto"/>
            <w:vAlign w:val="center"/>
          </w:tcPr>
          <w:p w14:paraId="76E69D97" w14:textId="77777777" w:rsidR="007C527F" w:rsidRPr="00124BB1" w:rsidRDefault="007C527F" w:rsidP="004A49C1">
            <w:pPr>
              <w:spacing w:after="0"/>
              <w:textboxTightWrap w:val="none"/>
              <w:rPr>
                <w:rFonts w:cs="Arial"/>
                <w:color w:val="000000"/>
                <w:sz w:val="18"/>
                <w:szCs w:val="18"/>
                <w:lang w:eastAsia="en-GB"/>
              </w:rPr>
            </w:pPr>
            <w:r w:rsidRPr="00124BB1">
              <w:rPr>
                <w:rFonts w:cs="Arial"/>
                <w:color w:val="000000"/>
                <w:sz w:val="18"/>
                <w:szCs w:val="18"/>
                <w:lang w:eastAsia="en-GB"/>
              </w:rPr>
              <w:t>100%</w:t>
            </w:r>
          </w:p>
        </w:tc>
        <w:tc>
          <w:tcPr>
            <w:tcW w:w="1741" w:type="dxa"/>
          </w:tcPr>
          <w:p w14:paraId="0838957E" w14:textId="77777777" w:rsidR="007C527F" w:rsidRPr="00124BB1" w:rsidRDefault="007C527F" w:rsidP="004A49C1">
            <w:pPr>
              <w:spacing w:after="0"/>
              <w:textboxTightWrap w:val="none"/>
              <w:rPr>
                <w:rFonts w:cs="Arial"/>
                <w:color w:val="000000"/>
                <w:sz w:val="18"/>
                <w:szCs w:val="18"/>
                <w:lang w:eastAsia="en-GB"/>
              </w:rPr>
            </w:pPr>
            <w:r w:rsidRPr="00124BB1">
              <w:rPr>
                <w:rFonts w:cs="Arial"/>
                <w:color w:val="000000"/>
                <w:sz w:val="18"/>
                <w:szCs w:val="18"/>
                <w:lang w:eastAsia="en-GB"/>
              </w:rPr>
              <w:t xml:space="preserve">100% compliant.  </w:t>
            </w:r>
          </w:p>
        </w:tc>
        <w:tc>
          <w:tcPr>
            <w:tcW w:w="1741" w:type="dxa"/>
            <w:vAlign w:val="center"/>
          </w:tcPr>
          <w:p w14:paraId="7DCBC6BB" w14:textId="77777777" w:rsidR="007C527F" w:rsidRPr="00124BB1" w:rsidRDefault="007C527F" w:rsidP="004A49C1">
            <w:pPr>
              <w:spacing w:after="0"/>
              <w:textboxTightWrap w:val="none"/>
              <w:rPr>
                <w:rFonts w:cs="Arial"/>
                <w:color w:val="000000"/>
                <w:sz w:val="18"/>
                <w:szCs w:val="18"/>
                <w:lang w:eastAsia="en-GB"/>
              </w:rPr>
            </w:pPr>
          </w:p>
        </w:tc>
      </w:tr>
      <w:tr w:rsidR="007C527F" w:rsidRPr="00B51C27" w14:paraId="50DFDFE7" w14:textId="77777777" w:rsidTr="004A49C1">
        <w:trPr>
          <w:trHeight w:val="2160"/>
        </w:trPr>
        <w:tc>
          <w:tcPr>
            <w:tcW w:w="2269" w:type="dxa"/>
            <w:shd w:val="clear" w:color="auto" w:fill="auto"/>
            <w:vAlign w:val="center"/>
          </w:tcPr>
          <w:p w14:paraId="7E96E537" w14:textId="77777777" w:rsidR="007C527F" w:rsidRDefault="007C527F" w:rsidP="004A49C1">
            <w:pPr>
              <w:spacing w:after="0"/>
              <w:textboxTightWrap w:val="none"/>
              <w:rPr>
                <w:rFonts w:cs="Arial"/>
                <w:color w:val="000000"/>
                <w:sz w:val="18"/>
                <w:szCs w:val="18"/>
                <w:lang w:eastAsia="en-GB"/>
              </w:rPr>
            </w:pPr>
            <w:r>
              <w:rPr>
                <w:rFonts w:cs="Arial"/>
                <w:color w:val="000000"/>
                <w:sz w:val="18"/>
                <w:szCs w:val="18"/>
                <w:lang w:eastAsia="en-GB"/>
              </w:rPr>
              <w:t>Patient comfort/ more relaxed atmosphere in labour room</w:t>
            </w:r>
          </w:p>
        </w:tc>
        <w:tc>
          <w:tcPr>
            <w:tcW w:w="3030" w:type="dxa"/>
            <w:shd w:val="clear" w:color="auto" w:fill="auto"/>
            <w:vAlign w:val="center"/>
          </w:tcPr>
          <w:p w14:paraId="7DE47732" w14:textId="77777777" w:rsidR="007C527F" w:rsidRPr="00924714" w:rsidRDefault="007C527F" w:rsidP="004A49C1">
            <w:pPr>
              <w:pStyle w:val="Bulletlist"/>
              <w:rPr>
                <w:rFonts w:cs="Arial"/>
                <w:color w:val="000000"/>
                <w:sz w:val="18"/>
                <w:szCs w:val="18"/>
                <w:lang w:eastAsia="en-GB"/>
              </w:rPr>
            </w:pPr>
            <w:r w:rsidRPr="00924714">
              <w:rPr>
                <w:rFonts w:cs="Arial"/>
                <w:color w:val="000000"/>
                <w:sz w:val="18"/>
                <w:szCs w:val="18"/>
                <w:lang w:eastAsia="en-GB"/>
              </w:rPr>
              <w:t>Avoidance of unnecessary disruption as the second clinician does not have to enter the room to perform “fresh eyes”</w:t>
            </w:r>
            <w:r>
              <w:rPr>
                <w:rFonts w:cs="Arial"/>
                <w:color w:val="000000"/>
                <w:sz w:val="18"/>
                <w:szCs w:val="18"/>
                <w:lang w:eastAsia="en-GB"/>
              </w:rPr>
              <w:t xml:space="preserve"> and the midwife does not have to leave the room to find a clinician to </w:t>
            </w:r>
            <w:r w:rsidRPr="00323A2D">
              <w:rPr>
                <w:rFonts w:cs="Arial"/>
                <w:color w:val="000000"/>
                <w:sz w:val="18"/>
                <w:szCs w:val="18"/>
                <w:lang w:eastAsia="en-GB"/>
              </w:rPr>
              <w:t xml:space="preserve">provide a fresh pair of </w:t>
            </w:r>
            <w:proofErr w:type="gramStart"/>
            <w:r w:rsidRPr="00323A2D">
              <w:rPr>
                <w:rFonts w:cs="Arial"/>
                <w:color w:val="000000"/>
                <w:sz w:val="18"/>
                <w:szCs w:val="18"/>
                <w:lang w:eastAsia="en-GB"/>
              </w:rPr>
              <w:t>eye</w:t>
            </w:r>
            <w:proofErr w:type="gramEnd"/>
            <w:r w:rsidRPr="00323A2D">
              <w:rPr>
                <w:rFonts w:cs="Arial"/>
                <w:color w:val="000000"/>
                <w:sz w:val="18"/>
                <w:szCs w:val="18"/>
                <w:lang w:eastAsia="en-GB"/>
              </w:rPr>
              <w:t xml:space="preserve"> for a CTG</w:t>
            </w:r>
          </w:p>
        </w:tc>
        <w:tc>
          <w:tcPr>
            <w:tcW w:w="939" w:type="dxa"/>
            <w:shd w:val="clear" w:color="auto" w:fill="auto"/>
            <w:vAlign w:val="center"/>
          </w:tcPr>
          <w:p w14:paraId="40BDC20F" w14:textId="77777777" w:rsidR="007C527F" w:rsidRPr="00323A2D" w:rsidRDefault="007C527F" w:rsidP="004A49C1">
            <w:pPr>
              <w:spacing w:after="0"/>
              <w:textboxTightWrap w:val="none"/>
              <w:rPr>
                <w:rFonts w:cs="Arial"/>
                <w:color w:val="000000"/>
                <w:sz w:val="18"/>
                <w:szCs w:val="18"/>
                <w:lang w:eastAsia="en-GB"/>
              </w:rPr>
            </w:pPr>
            <w:r>
              <w:rPr>
                <w:rFonts w:cs="Arial"/>
                <w:color w:val="000000"/>
                <w:sz w:val="18"/>
                <w:szCs w:val="18"/>
                <w:lang w:eastAsia="en-GB"/>
              </w:rPr>
              <w:t>Q</w:t>
            </w:r>
          </w:p>
        </w:tc>
        <w:tc>
          <w:tcPr>
            <w:tcW w:w="1781" w:type="dxa"/>
            <w:shd w:val="clear" w:color="auto" w:fill="auto"/>
            <w:vAlign w:val="center"/>
          </w:tcPr>
          <w:p w14:paraId="4ACA8DE5" w14:textId="77777777" w:rsidR="007C527F" w:rsidRPr="00323A2D" w:rsidRDefault="007C527F" w:rsidP="004A49C1">
            <w:pPr>
              <w:spacing w:after="0"/>
              <w:textboxTightWrap w:val="none"/>
              <w:rPr>
                <w:rFonts w:cs="Arial"/>
                <w:color w:val="000000"/>
                <w:sz w:val="18"/>
                <w:szCs w:val="18"/>
                <w:lang w:eastAsia="en-GB"/>
              </w:rPr>
            </w:pPr>
            <w:r>
              <w:rPr>
                <w:rFonts w:cs="Arial"/>
                <w:color w:val="000000"/>
                <w:sz w:val="18"/>
                <w:szCs w:val="18"/>
                <w:lang w:eastAsia="en-GB"/>
              </w:rPr>
              <w:t>Audit (labour hours)</w:t>
            </w:r>
          </w:p>
        </w:tc>
        <w:tc>
          <w:tcPr>
            <w:tcW w:w="1196" w:type="dxa"/>
            <w:shd w:val="clear" w:color="auto" w:fill="auto"/>
            <w:vAlign w:val="center"/>
          </w:tcPr>
          <w:p w14:paraId="57B258DD" w14:textId="77777777" w:rsidR="007C527F" w:rsidRPr="00124BB1" w:rsidRDefault="007C527F" w:rsidP="004A49C1">
            <w:pPr>
              <w:spacing w:after="0"/>
              <w:textboxTightWrap w:val="none"/>
              <w:rPr>
                <w:rFonts w:cs="Arial"/>
                <w:color w:val="000000"/>
                <w:sz w:val="18"/>
                <w:szCs w:val="18"/>
                <w:lang w:eastAsia="en-GB"/>
              </w:rPr>
            </w:pPr>
            <w:r w:rsidRPr="00124BB1">
              <w:rPr>
                <w:rFonts w:cs="Arial"/>
                <w:color w:val="000000"/>
                <w:sz w:val="18"/>
                <w:szCs w:val="18"/>
                <w:lang w:eastAsia="en-GB"/>
              </w:rPr>
              <w:t xml:space="preserve">Number of interruptions pre (one per hour) </w:t>
            </w:r>
          </w:p>
          <w:p w14:paraId="70080BD8" w14:textId="77777777" w:rsidR="007C527F" w:rsidRPr="00124BB1" w:rsidRDefault="007C527F" w:rsidP="004A49C1">
            <w:pPr>
              <w:spacing w:after="0"/>
              <w:textboxTightWrap w:val="none"/>
              <w:rPr>
                <w:rFonts w:cs="Arial"/>
                <w:color w:val="000000"/>
                <w:sz w:val="18"/>
                <w:szCs w:val="18"/>
                <w:lang w:eastAsia="en-GB"/>
              </w:rPr>
            </w:pPr>
          </w:p>
          <w:p w14:paraId="7FBB5D71" w14:textId="77777777" w:rsidR="007C527F" w:rsidRPr="00124BB1" w:rsidRDefault="007C527F" w:rsidP="004A49C1">
            <w:pPr>
              <w:spacing w:after="0"/>
              <w:textboxTightWrap w:val="none"/>
              <w:rPr>
                <w:rFonts w:cs="Arial"/>
                <w:color w:val="000000"/>
                <w:sz w:val="18"/>
                <w:szCs w:val="18"/>
                <w:lang w:eastAsia="en-GB"/>
              </w:rPr>
            </w:pPr>
            <w:r w:rsidRPr="00124BB1">
              <w:rPr>
                <w:rFonts w:cs="Arial"/>
                <w:color w:val="000000"/>
                <w:sz w:val="18"/>
                <w:szCs w:val="18"/>
                <w:lang w:eastAsia="en-GB"/>
              </w:rPr>
              <w:t>Midwife’s estimate it can take between 1 to 5 mins to find another clinician</w:t>
            </w:r>
          </w:p>
        </w:tc>
        <w:tc>
          <w:tcPr>
            <w:tcW w:w="1214" w:type="dxa"/>
            <w:shd w:val="clear" w:color="auto" w:fill="auto"/>
            <w:vAlign w:val="center"/>
          </w:tcPr>
          <w:p w14:paraId="51FCC18B" w14:textId="77777777" w:rsidR="007C527F" w:rsidRPr="00124BB1" w:rsidRDefault="007C527F" w:rsidP="004A49C1">
            <w:pPr>
              <w:spacing w:after="0"/>
              <w:textboxTightWrap w:val="none"/>
              <w:rPr>
                <w:rFonts w:cs="Arial"/>
                <w:color w:val="000000"/>
                <w:sz w:val="18"/>
                <w:szCs w:val="18"/>
                <w:lang w:eastAsia="en-GB"/>
              </w:rPr>
            </w:pPr>
          </w:p>
        </w:tc>
        <w:tc>
          <w:tcPr>
            <w:tcW w:w="1741" w:type="dxa"/>
          </w:tcPr>
          <w:p w14:paraId="6899D752" w14:textId="77777777" w:rsidR="007C527F" w:rsidRPr="00124BB1" w:rsidRDefault="007C527F" w:rsidP="004A49C1">
            <w:pPr>
              <w:spacing w:after="0"/>
              <w:textboxTightWrap w:val="none"/>
              <w:rPr>
                <w:rFonts w:cs="Arial"/>
                <w:color w:val="000000"/>
                <w:sz w:val="18"/>
                <w:szCs w:val="18"/>
                <w:lang w:eastAsia="en-GB"/>
              </w:rPr>
            </w:pPr>
            <w:r w:rsidRPr="00124BB1">
              <w:rPr>
                <w:rFonts w:cs="Arial"/>
                <w:color w:val="000000"/>
                <w:sz w:val="18"/>
                <w:szCs w:val="18"/>
                <w:lang w:eastAsia="en-GB"/>
              </w:rPr>
              <w:t>There is more control of the interruptions, and unnecessary interruptions have ceased.</w:t>
            </w:r>
          </w:p>
        </w:tc>
        <w:tc>
          <w:tcPr>
            <w:tcW w:w="1741" w:type="dxa"/>
            <w:vAlign w:val="center"/>
          </w:tcPr>
          <w:p w14:paraId="70E65F38" w14:textId="77777777" w:rsidR="007C527F" w:rsidRPr="00124BB1" w:rsidRDefault="007C527F" w:rsidP="004A49C1">
            <w:pPr>
              <w:spacing w:after="0"/>
              <w:textboxTightWrap w:val="none"/>
              <w:rPr>
                <w:rFonts w:cs="Arial"/>
                <w:color w:val="000000"/>
                <w:sz w:val="18"/>
                <w:szCs w:val="18"/>
                <w:lang w:eastAsia="en-GB"/>
              </w:rPr>
            </w:pPr>
          </w:p>
        </w:tc>
      </w:tr>
      <w:tr w:rsidR="007C527F" w:rsidRPr="00B51C27" w14:paraId="3707418B" w14:textId="77777777" w:rsidTr="004A49C1">
        <w:trPr>
          <w:trHeight w:val="2160"/>
        </w:trPr>
        <w:tc>
          <w:tcPr>
            <w:tcW w:w="2269" w:type="dxa"/>
            <w:shd w:val="clear" w:color="auto" w:fill="auto"/>
            <w:vAlign w:val="center"/>
          </w:tcPr>
          <w:p w14:paraId="379D84CC" w14:textId="77777777" w:rsidR="007C527F" w:rsidRDefault="007C527F" w:rsidP="004A49C1">
            <w:pPr>
              <w:spacing w:after="0"/>
              <w:textboxTightWrap w:val="none"/>
              <w:rPr>
                <w:rFonts w:cs="Arial"/>
                <w:color w:val="000000"/>
                <w:sz w:val="18"/>
                <w:szCs w:val="18"/>
                <w:lang w:eastAsia="en-GB"/>
              </w:rPr>
            </w:pPr>
            <w:r>
              <w:rPr>
                <w:rFonts w:cs="Arial"/>
                <w:color w:val="000000"/>
                <w:sz w:val="18"/>
                <w:szCs w:val="18"/>
                <w:lang w:eastAsia="en-GB"/>
              </w:rPr>
              <w:t xml:space="preserve">Time will be saved accessing historic records.  </w:t>
            </w:r>
          </w:p>
        </w:tc>
        <w:tc>
          <w:tcPr>
            <w:tcW w:w="3030" w:type="dxa"/>
            <w:shd w:val="clear" w:color="auto" w:fill="auto"/>
            <w:vAlign w:val="center"/>
          </w:tcPr>
          <w:p w14:paraId="30FC64D2" w14:textId="77777777" w:rsidR="007C527F" w:rsidRPr="00924714" w:rsidRDefault="007C527F" w:rsidP="004A49C1">
            <w:pPr>
              <w:pStyle w:val="Bulletlist"/>
              <w:rPr>
                <w:rFonts w:cs="Arial"/>
                <w:color w:val="000000"/>
                <w:sz w:val="18"/>
                <w:szCs w:val="18"/>
                <w:lang w:eastAsia="en-GB"/>
              </w:rPr>
            </w:pPr>
            <w:r>
              <w:rPr>
                <w:rFonts w:cs="Arial"/>
                <w:color w:val="000000"/>
                <w:sz w:val="18"/>
                <w:szCs w:val="18"/>
                <w:lang w:eastAsia="en-GB"/>
              </w:rPr>
              <w:t>Clinicians will have instant access to past medical history</w:t>
            </w:r>
          </w:p>
        </w:tc>
        <w:tc>
          <w:tcPr>
            <w:tcW w:w="939" w:type="dxa"/>
            <w:shd w:val="clear" w:color="auto" w:fill="auto"/>
            <w:vAlign w:val="center"/>
          </w:tcPr>
          <w:p w14:paraId="5DB4968B" w14:textId="77777777" w:rsidR="007C527F" w:rsidRDefault="007C527F" w:rsidP="004A49C1">
            <w:pPr>
              <w:spacing w:after="0"/>
              <w:textboxTightWrap w:val="none"/>
              <w:rPr>
                <w:rFonts w:cs="Arial"/>
                <w:color w:val="000000"/>
                <w:sz w:val="18"/>
                <w:szCs w:val="18"/>
                <w:lang w:eastAsia="en-GB"/>
              </w:rPr>
            </w:pPr>
            <w:r>
              <w:rPr>
                <w:rFonts w:cs="Arial"/>
                <w:color w:val="000000"/>
                <w:sz w:val="18"/>
                <w:szCs w:val="18"/>
                <w:lang w:eastAsia="en-GB"/>
              </w:rPr>
              <w:t>NCR</w:t>
            </w:r>
          </w:p>
        </w:tc>
        <w:tc>
          <w:tcPr>
            <w:tcW w:w="1781" w:type="dxa"/>
            <w:shd w:val="clear" w:color="auto" w:fill="auto"/>
            <w:vAlign w:val="center"/>
          </w:tcPr>
          <w:p w14:paraId="74002C8F" w14:textId="77777777" w:rsidR="007C527F" w:rsidRDefault="007C527F" w:rsidP="004A49C1">
            <w:pPr>
              <w:spacing w:after="0"/>
              <w:textboxTightWrap w:val="none"/>
              <w:rPr>
                <w:rFonts w:cs="Arial"/>
                <w:color w:val="000000"/>
                <w:sz w:val="18"/>
                <w:szCs w:val="18"/>
                <w:lang w:eastAsia="en-GB"/>
              </w:rPr>
            </w:pPr>
            <w:r>
              <w:rPr>
                <w:rFonts w:cs="Arial"/>
                <w:color w:val="000000"/>
                <w:sz w:val="18"/>
                <w:szCs w:val="18"/>
                <w:lang w:eastAsia="en-GB"/>
              </w:rPr>
              <w:t>Survey staff – time spent looking for records</w:t>
            </w:r>
          </w:p>
        </w:tc>
        <w:tc>
          <w:tcPr>
            <w:tcW w:w="1196" w:type="dxa"/>
            <w:shd w:val="clear" w:color="auto" w:fill="auto"/>
            <w:vAlign w:val="center"/>
          </w:tcPr>
          <w:p w14:paraId="45BA5087" w14:textId="77777777" w:rsidR="007C527F" w:rsidRDefault="007C527F" w:rsidP="004A49C1">
            <w:pPr>
              <w:spacing w:after="0"/>
              <w:textboxTightWrap w:val="none"/>
              <w:rPr>
                <w:rFonts w:cs="Arial"/>
                <w:color w:val="000000"/>
                <w:sz w:val="18"/>
                <w:szCs w:val="18"/>
                <w:lang w:eastAsia="en-GB"/>
              </w:rPr>
            </w:pPr>
          </w:p>
        </w:tc>
        <w:tc>
          <w:tcPr>
            <w:tcW w:w="1214" w:type="dxa"/>
            <w:shd w:val="clear" w:color="auto" w:fill="auto"/>
            <w:vAlign w:val="center"/>
          </w:tcPr>
          <w:p w14:paraId="17B01826" w14:textId="77777777" w:rsidR="007C527F" w:rsidRPr="00323A2D" w:rsidRDefault="007C527F" w:rsidP="004A49C1">
            <w:pPr>
              <w:spacing w:after="0"/>
              <w:textboxTightWrap w:val="none"/>
              <w:rPr>
                <w:rFonts w:cs="Arial"/>
                <w:color w:val="000000"/>
                <w:sz w:val="18"/>
                <w:szCs w:val="18"/>
                <w:lang w:eastAsia="en-GB"/>
              </w:rPr>
            </w:pPr>
          </w:p>
        </w:tc>
        <w:tc>
          <w:tcPr>
            <w:tcW w:w="1741" w:type="dxa"/>
          </w:tcPr>
          <w:p w14:paraId="599B19C2" w14:textId="77777777" w:rsidR="007C527F" w:rsidRPr="00323A2D" w:rsidRDefault="007C527F" w:rsidP="004A49C1">
            <w:pPr>
              <w:spacing w:after="0"/>
              <w:textboxTightWrap w:val="none"/>
              <w:rPr>
                <w:rFonts w:cs="Arial"/>
                <w:color w:val="000000"/>
                <w:sz w:val="18"/>
                <w:szCs w:val="18"/>
                <w:lang w:eastAsia="en-GB"/>
              </w:rPr>
            </w:pPr>
            <w:r>
              <w:rPr>
                <w:rFonts w:cs="Arial"/>
                <w:color w:val="000000"/>
                <w:sz w:val="18"/>
                <w:szCs w:val="18"/>
                <w:lang w:eastAsia="en-GB"/>
              </w:rPr>
              <w:t xml:space="preserve">Now takes one minute to call up the record.     </w:t>
            </w:r>
          </w:p>
        </w:tc>
        <w:tc>
          <w:tcPr>
            <w:tcW w:w="1741" w:type="dxa"/>
            <w:vAlign w:val="center"/>
          </w:tcPr>
          <w:p w14:paraId="2E380AE8" w14:textId="77777777" w:rsidR="007C527F" w:rsidRPr="00323A2D" w:rsidRDefault="007C527F" w:rsidP="004A49C1">
            <w:pPr>
              <w:spacing w:after="0"/>
              <w:textboxTightWrap w:val="none"/>
              <w:rPr>
                <w:rFonts w:cs="Arial"/>
                <w:color w:val="000000"/>
                <w:sz w:val="18"/>
                <w:szCs w:val="18"/>
                <w:lang w:eastAsia="en-GB"/>
              </w:rPr>
            </w:pPr>
          </w:p>
        </w:tc>
      </w:tr>
      <w:tr w:rsidR="007C527F" w:rsidRPr="00B51C27" w14:paraId="3532F2F1" w14:textId="77777777" w:rsidTr="004A49C1">
        <w:trPr>
          <w:trHeight w:val="2160"/>
        </w:trPr>
        <w:tc>
          <w:tcPr>
            <w:tcW w:w="2269" w:type="dxa"/>
            <w:shd w:val="clear" w:color="auto" w:fill="auto"/>
            <w:vAlign w:val="center"/>
          </w:tcPr>
          <w:p w14:paraId="2C6A547A" w14:textId="77777777" w:rsidR="007C527F" w:rsidRDefault="007C527F" w:rsidP="004A49C1">
            <w:pPr>
              <w:spacing w:after="0"/>
              <w:textboxTightWrap w:val="none"/>
              <w:rPr>
                <w:rFonts w:cs="Arial"/>
                <w:color w:val="000000"/>
                <w:sz w:val="18"/>
                <w:szCs w:val="18"/>
                <w:lang w:eastAsia="en-GB"/>
              </w:rPr>
            </w:pPr>
            <w:r>
              <w:rPr>
                <w:rFonts w:cs="Arial"/>
                <w:color w:val="000000"/>
                <w:sz w:val="18"/>
                <w:szCs w:val="18"/>
                <w:lang w:eastAsia="en-GB"/>
              </w:rPr>
              <w:lastRenderedPageBreak/>
              <w:t>Reduced duplication in inputting records</w:t>
            </w:r>
          </w:p>
        </w:tc>
        <w:tc>
          <w:tcPr>
            <w:tcW w:w="3030" w:type="dxa"/>
            <w:shd w:val="clear" w:color="auto" w:fill="auto"/>
            <w:vAlign w:val="center"/>
          </w:tcPr>
          <w:p w14:paraId="0637A424" w14:textId="77777777" w:rsidR="007C527F" w:rsidRDefault="007C527F" w:rsidP="004A49C1">
            <w:pPr>
              <w:pStyle w:val="Bulletlist"/>
              <w:rPr>
                <w:rFonts w:cs="Arial"/>
                <w:color w:val="000000"/>
                <w:sz w:val="18"/>
                <w:szCs w:val="18"/>
                <w:lang w:eastAsia="en-GB"/>
              </w:rPr>
            </w:pPr>
            <w:r>
              <w:rPr>
                <w:rFonts w:cs="Arial"/>
                <w:color w:val="000000"/>
                <w:sz w:val="18"/>
                <w:szCs w:val="18"/>
                <w:lang w:eastAsia="en-GB"/>
              </w:rPr>
              <w:t>Instead of updating in numerous electronic and paper records, information will pull through automatically saving clinicians time.</w:t>
            </w:r>
          </w:p>
        </w:tc>
        <w:tc>
          <w:tcPr>
            <w:tcW w:w="939" w:type="dxa"/>
            <w:shd w:val="clear" w:color="auto" w:fill="auto"/>
            <w:vAlign w:val="center"/>
          </w:tcPr>
          <w:p w14:paraId="1FA0A80F" w14:textId="77777777" w:rsidR="007C527F" w:rsidRDefault="007C527F" w:rsidP="004A49C1">
            <w:pPr>
              <w:spacing w:after="0"/>
              <w:textboxTightWrap w:val="none"/>
              <w:rPr>
                <w:rFonts w:cs="Arial"/>
                <w:color w:val="000000"/>
                <w:sz w:val="18"/>
                <w:szCs w:val="18"/>
                <w:lang w:eastAsia="en-GB"/>
              </w:rPr>
            </w:pPr>
            <w:r>
              <w:rPr>
                <w:rFonts w:cs="Arial"/>
                <w:color w:val="000000"/>
                <w:sz w:val="18"/>
                <w:szCs w:val="18"/>
                <w:lang w:eastAsia="en-GB"/>
              </w:rPr>
              <w:t>NCR</w:t>
            </w:r>
          </w:p>
        </w:tc>
        <w:tc>
          <w:tcPr>
            <w:tcW w:w="1781" w:type="dxa"/>
            <w:shd w:val="clear" w:color="auto" w:fill="auto"/>
            <w:vAlign w:val="center"/>
          </w:tcPr>
          <w:p w14:paraId="715C1D04" w14:textId="77777777" w:rsidR="007C527F" w:rsidRDefault="007C527F" w:rsidP="004A49C1">
            <w:pPr>
              <w:spacing w:after="0"/>
              <w:textboxTightWrap w:val="none"/>
              <w:rPr>
                <w:rFonts w:cs="Arial"/>
                <w:color w:val="000000"/>
                <w:sz w:val="18"/>
                <w:szCs w:val="18"/>
                <w:lang w:eastAsia="en-GB"/>
              </w:rPr>
            </w:pPr>
            <w:r>
              <w:rPr>
                <w:rFonts w:cs="Arial"/>
                <w:color w:val="000000"/>
                <w:sz w:val="18"/>
                <w:szCs w:val="18"/>
                <w:lang w:eastAsia="en-GB"/>
              </w:rPr>
              <w:t>Staff interviews/observations</w:t>
            </w:r>
          </w:p>
        </w:tc>
        <w:tc>
          <w:tcPr>
            <w:tcW w:w="1196" w:type="dxa"/>
            <w:shd w:val="clear" w:color="auto" w:fill="auto"/>
            <w:vAlign w:val="center"/>
          </w:tcPr>
          <w:p w14:paraId="75D20CEC" w14:textId="77777777" w:rsidR="007C527F" w:rsidRDefault="007C527F" w:rsidP="004A49C1">
            <w:pPr>
              <w:spacing w:after="0"/>
              <w:textboxTightWrap w:val="none"/>
              <w:rPr>
                <w:rFonts w:cs="Arial"/>
                <w:color w:val="000000"/>
                <w:sz w:val="18"/>
                <w:szCs w:val="18"/>
                <w:lang w:eastAsia="en-GB"/>
              </w:rPr>
            </w:pPr>
            <w:r>
              <w:rPr>
                <w:rFonts w:cs="Arial"/>
                <w:color w:val="000000"/>
                <w:sz w:val="18"/>
                <w:szCs w:val="18"/>
                <w:lang w:eastAsia="en-GB"/>
              </w:rPr>
              <w:t>Average 20 minutes per birth</w:t>
            </w:r>
          </w:p>
        </w:tc>
        <w:tc>
          <w:tcPr>
            <w:tcW w:w="1214" w:type="dxa"/>
            <w:shd w:val="clear" w:color="auto" w:fill="auto"/>
            <w:vAlign w:val="center"/>
          </w:tcPr>
          <w:p w14:paraId="1646BE49" w14:textId="77777777" w:rsidR="007C527F" w:rsidRPr="00323A2D" w:rsidRDefault="007C527F" w:rsidP="004A49C1">
            <w:pPr>
              <w:spacing w:after="0"/>
              <w:textboxTightWrap w:val="none"/>
              <w:rPr>
                <w:rFonts w:cs="Arial"/>
                <w:color w:val="000000"/>
                <w:sz w:val="18"/>
                <w:szCs w:val="18"/>
                <w:lang w:eastAsia="en-GB"/>
              </w:rPr>
            </w:pPr>
            <w:r>
              <w:rPr>
                <w:rFonts w:cs="Arial"/>
                <w:color w:val="000000"/>
                <w:sz w:val="18"/>
                <w:szCs w:val="18"/>
                <w:lang w:eastAsia="en-GB"/>
              </w:rPr>
              <w:t>10 mins per birth</w:t>
            </w:r>
          </w:p>
        </w:tc>
        <w:tc>
          <w:tcPr>
            <w:tcW w:w="1741" w:type="dxa"/>
          </w:tcPr>
          <w:p w14:paraId="32FEB66F" w14:textId="77777777" w:rsidR="007C527F" w:rsidRDefault="007C527F" w:rsidP="004A49C1">
            <w:pPr>
              <w:spacing w:after="0"/>
              <w:textboxTightWrap w:val="none"/>
              <w:rPr>
                <w:rFonts w:cs="Arial"/>
                <w:color w:val="000000"/>
                <w:sz w:val="18"/>
                <w:szCs w:val="18"/>
                <w:lang w:eastAsia="en-GB"/>
              </w:rPr>
            </w:pPr>
            <w:r>
              <w:rPr>
                <w:rFonts w:cs="Arial"/>
                <w:color w:val="000000"/>
                <w:sz w:val="18"/>
                <w:szCs w:val="18"/>
                <w:lang w:eastAsia="en-GB"/>
              </w:rPr>
              <w:t>Staff interviews confirm that current time averages 10 minutes</w:t>
            </w:r>
          </w:p>
        </w:tc>
        <w:tc>
          <w:tcPr>
            <w:tcW w:w="1741" w:type="dxa"/>
            <w:vAlign w:val="center"/>
          </w:tcPr>
          <w:p w14:paraId="70A997D6" w14:textId="77777777" w:rsidR="007C527F" w:rsidRPr="00323A2D" w:rsidRDefault="007C527F" w:rsidP="004A49C1">
            <w:pPr>
              <w:spacing w:after="0"/>
              <w:textboxTightWrap w:val="none"/>
              <w:rPr>
                <w:rFonts w:cs="Arial"/>
                <w:color w:val="000000"/>
                <w:sz w:val="18"/>
                <w:szCs w:val="18"/>
                <w:lang w:eastAsia="en-GB"/>
              </w:rPr>
            </w:pPr>
          </w:p>
        </w:tc>
      </w:tr>
    </w:tbl>
    <w:p w14:paraId="7E9EC750" w14:textId="77777777" w:rsidR="007C527F" w:rsidRDefault="007C527F" w:rsidP="007C527F">
      <w:pPr>
        <w:spacing w:after="120"/>
        <w:rPr>
          <w:rFonts w:cs="Arial"/>
          <w:sz w:val="22"/>
          <w:szCs w:val="22"/>
        </w:rPr>
      </w:pPr>
    </w:p>
    <w:bookmarkEnd w:id="2"/>
    <w:bookmarkEnd w:id="1"/>
    <w:bookmarkEnd w:id="0"/>
    <w:p w14:paraId="5A79FFE1" w14:textId="77777777" w:rsidR="007C527F" w:rsidRDefault="007C527F"/>
    <w:sectPr w:rsidR="007C527F" w:rsidSect="00FF5523">
      <w:pgSz w:w="16838" w:h="11906" w:orient="landscape"/>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0A665" w14:textId="77777777" w:rsidR="00861E0B" w:rsidRDefault="00861E0B" w:rsidP="000C24AF">
      <w:pPr>
        <w:spacing w:after="0"/>
      </w:pPr>
      <w:r>
        <w:separator/>
      </w:r>
    </w:p>
  </w:endnote>
  <w:endnote w:type="continuationSeparator" w:id="0">
    <w:p w14:paraId="7F44F4C7" w14:textId="77777777" w:rsidR="00861E0B" w:rsidRDefault="00861E0B"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A723" w14:textId="77777777" w:rsidR="00B9250C" w:rsidRDefault="00B9250C" w:rsidP="00694FC4">
    <w:pPr>
      <w:tabs>
        <w:tab w:val="left" w:pos="426"/>
      </w:tabs>
    </w:pPr>
  </w:p>
  <w:p w14:paraId="15CABC70" w14:textId="60753792" w:rsidR="00B9250C" w:rsidRDefault="00B9250C" w:rsidP="0030753B">
    <w:pPr>
      <w:pStyle w:val="Footer"/>
    </w:pPr>
    <w:r>
      <w:t>Copyright © 2017 Health and Social Care Information Centre.</w:t>
    </w:r>
    <w:r>
      <w:tab/>
    </w:r>
    <w:r w:rsidRPr="000C24AF">
      <w:fldChar w:fldCharType="begin"/>
    </w:r>
    <w:r w:rsidRPr="000C24AF">
      <w:instrText xml:space="preserve"> PAGE   \* MERGEFORMAT </w:instrText>
    </w:r>
    <w:r w:rsidRPr="000C24AF">
      <w:fldChar w:fldCharType="separate"/>
    </w:r>
    <w:r>
      <w:rPr>
        <w:noProof/>
      </w:rPr>
      <w:t>6</w:t>
    </w:r>
    <w:r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2B93" w14:textId="77777777" w:rsidR="00B9250C" w:rsidRPr="00F5718C" w:rsidRDefault="00B9250C" w:rsidP="0030753B">
    <w:pPr>
      <w:pStyle w:val="Footer"/>
    </w:pPr>
    <w:r>
      <w:rPr>
        <w:noProof/>
        <w:lang w:eastAsia="en-GB"/>
      </w:rPr>
      <w:drawing>
        <wp:anchor distT="0" distB="0" distL="114300" distR="114300" simplePos="0" relativeHeight="251661312" behindDoc="0" locked="0" layoutInCell="1" allowOverlap="1" wp14:anchorId="3D22F136" wp14:editId="008C73BF">
          <wp:simplePos x="0" y="0"/>
          <wp:positionH relativeFrom="page">
            <wp:posOffset>612140</wp:posOffset>
          </wp:positionH>
          <wp:positionV relativeFrom="page">
            <wp:posOffset>9072880</wp:posOffset>
          </wp:positionV>
          <wp:extent cx="3240000" cy="630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t>Copyright © 2017</w:t>
    </w:r>
    <w:r w:rsidRPr="00F5718C">
      <w:t xml:space="preserve"> Health and Social Care Information Centre.</w:t>
    </w:r>
  </w:p>
  <w:p w14:paraId="0C40735B" w14:textId="77777777" w:rsidR="00B9250C" w:rsidRPr="0000416F" w:rsidRDefault="00B9250C" w:rsidP="0030753B">
    <w:pPr>
      <w:pStyle w:val="Footer"/>
    </w:pPr>
    <w:r w:rsidRPr="0000416F">
      <w:t>The Health and Social Care Information Centre is a non-departmental body created by statute, also known as 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306C6" w14:textId="77777777" w:rsidR="00861E0B" w:rsidRDefault="00861E0B" w:rsidP="000C24AF">
      <w:pPr>
        <w:spacing w:after="0"/>
      </w:pPr>
      <w:r>
        <w:separator/>
      </w:r>
    </w:p>
  </w:footnote>
  <w:footnote w:type="continuationSeparator" w:id="0">
    <w:p w14:paraId="526B4DC0" w14:textId="77777777" w:rsidR="00861E0B" w:rsidRDefault="00861E0B" w:rsidP="000C24AF">
      <w:pPr>
        <w:spacing w:after="0"/>
      </w:pPr>
      <w:r>
        <w:continuationSeparator/>
      </w:r>
    </w:p>
  </w:footnote>
  <w:footnote w:id="1">
    <w:p w14:paraId="2C513802" w14:textId="77777777" w:rsidR="007C527F" w:rsidRDefault="007C527F" w:rsidP="007C527F">
      <w:pPr>
        <w:pStyle w:val="FootnoteText"/>
      </w:pPr>
      <w:r>
        <w:rPr>
          <w:rStyle w:val="FootnoteReference"/>
        </w:rPr>
        <w:footnoteRef/>
      </w:r>
      <w:r>
        <w:t xml:space="preserve"> </w:t>
      </w:r>
      <w:r w:rsidRPr="008015BB">
        <w:rPr>
          <w:rFonts w:cs="Arial"/>
          <w:color w:val="333333"/>
          <w:lang w:val="en"/>
        </w:rPr>
        <w:t xml:space="preserve">Two sensors are placed on the </w:t>
      </w:r>
      <w:proofErr w:type="gramStart"/>
      <w:r w:rsidRPr="008015BB">
        <w:rPr>
          <w:rFonts w:cs="Arial"/>
          <w:color w:val="333333"/>
          <w:lang w:val="en"/>
        </w:rPr>
        <w:t>mothers</w:t>
      </w:r>
      <w:proofErr w:type="gramEnd"/>
      <w:r w:rsidRPr="008015BB">
        <w:rPr>
          <w:rFonts w:cs="Arial"/>
          <w:color w:val="333333"/>
          <w:lang w:val="en"/>
        </w:rPr>
        <w:t xml:space="preserve"> abdomen, one for the ultrasound to measure the baby’s heart rate to check for signs of distress during </w:t>
      </w:r>
      <w:proofErr w:type="spellStart"/>
      <w:r w:rsidRPr="008015BB">
        <w:rPr>
          <w:rFonts w:cs="Arial"/>
          <w:color w:val="333333"/>
          <w:lang w:val="en"/>
        </w:rPr>
        <w:t>labour</w:t>
      </w:r>
      <w:proofErr w:type="spellEnd"/>
      <w:r w:rsidRPr="008015BB">
        <w:rPr>
          <w:rFonts w:cs="Arial"/>
          <w:color w:val="333333"/>
          <w:lang w:val="en"/>
        </w:rPr>
        <w:t xml:space="preserve"> and a second pressure sensor monitors the mother’s contractions.  The cardiotocograph (CTC) readings of the contractions and </w:t>
      </w:r>
      <w:r>
        <w:rPr>
          <w:rFonts w:cs="Arial"/>
          <w:color w:val="333333"/>
          <w:lang w:val="en"/>
        </w:rPr>
        <w:t>fetal</w:t>
      </w:r>
      <w:r w:rsidRPr="008015BB">
        <w:rPr>
          <w:rFonts w:cs="Arial"/>
          <w:color w:val="333333"/>
          <w:lang w:val="en"/>
        </w:rPr>
        <w:t xml:space="preserve"> heart beat are printed on a continuous </w:t>
      </w:r>
      <w:proofErr w:type="spellStart"/>
      <w:r>
        <w:rPr>
          <w:rFonts w:cs="Arial"/>
          <w:color w:val="333333"/>
          <w:lang w:val="en"/>
        </w:rPr>
        <w:t>foetal</w:t>
      </w:r>
      <w:proofErr w:type="spellEnd"/>
      <w:r w:rsidRPr="008015BB">
        <w:rPr>
          <w:rFonts w:cs="Arial"/>
          <w:color w:val="333333"/>
          <w:lang w:val="en"/>
        </w:rPr>
        <w:t xml:space="preserve"> strip.  Obstetricians and midwives working on </w:t>
      </w:r>
      <w:proofErr w:type="spellStart"/>
      <w:r w:rsidRPr="008015BB">
        <w:rPr>
          <w:rFonts w:cs="Arial"/>
          <w:color w:val="333333"/>
          <w:lang w:val="en"/>
        </w:rPr>
        <w:t>labour</w:t>
      </w:r>
      <w:proofErr w:type="spellEnd"/>
      <w:r w:rsidRPr="008015BB">
        <w:rPr>
          <w:rFonts w:cs="Arial"/>
          <w:color w:val="333333"/>
          <w:lang w:val="en"/>
        </w:rPr>
        <w:t xml:space="preserve"> wards </w:t>
      </w:r>
      <w:proofErr w:type="gramStart"/>
      <w:r>
        <w:rPr>
          <w:rFonts w:cs="Arial"/>
          <w:color w:val="333333"/>
          <w:lang w:val="en"/>
        </w:rPr>
        <w:t>are able to</w:t>
      </w:r>
      <w:proofErr w:type="gramEnd"/>
      <w:r>
        <w:rPr>
          <w:rFonts w:cs="Arial"/>
          <w:color w:val="333333"/>
          <w:lang w:val="en"/>
        </w:rPr>
        <w:t xml:space="preserve"> i</w:t>
      </w:r>
      <w:r w:rsidRPr="008015BB">
        <w:rPr>
          <w:rFonts w:cs="Arial"/>
          <w:color w:val="333333"/>
          <w:lang w:val="en"/>
        </w:rPr>
        <w:t xml:space="preserve">nterpret CTGs with other clinical factors to make critical decisions about the management of </w:t>
      </w:r>
      <w:proofErr w:type="spellStart"/>
      <w:r w:rsidRPr="008015BB">
        <w:rPr>
          <w:rFonts w:cs="Arial"/>
          <w:color w:val="333333"/>
          <w:lang w:val="en"/>
        </w:rPr>
        <w:t>labour</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A1C0" w14:textId="77777777" w:rsidR="00B9250C" w:rsidRDefault="00B9250C" w:rsidP="00F5718C">
    <w:r>
      <w:rPr>
        <w:rFonts w:asciiTheme="minorHAnsi" w:hAnsiTheme="minorHAnsi"/>
        <w:b/>
        <w:bCs/>
        <w:noProof/>
        <w:lang w:eastAsia="en-GB"/>
      </w:rPr>
      <mc:AlternateContent>
        <mc:Choice Requires="wps">
          <w:drawing>
            <wp:anchor distT="0" distB="0" distL="114300" distR="114300" simplePos="0" relativeHeight="251662336" behindDoc="0" locked="0" layoutInCell="1" allowOverlap="1" wp14:anchorId="1C96D3BC" wp14:editId="6145A5B7">
              <wp:simplePos x="0" y="0"/>
              <wp:positionH relativeFrom="page">
                <wp:posOffset>0</wp:posOffset>
              </wp:positionH>
              <wp:positionV relativeFrom="page">
                <wp:posOffset>3564255</wp:posOffset>
              </wp:positionV>
              <wp:extent cx="7560000" cy="291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291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CAD4A" id="Rectangle 1" o:spid="_x0000_s1026" style="position:absolute;margin-left:0;margin-top:280.65pt;width:595.3pt;height:229.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" fillcolor="#005eb8 [3204]" stroked="f" strokeweight="2pt">
              <w10:wrap anchorx="page" anchory="page"/>
            </v:rect>
          </w:pict>
        </mc:Fallback>
      </mc:AlternateContent>
    </w:r>
    <w:r>
      <w:rPr>
        <w:rFonts w:asciiTheme="minorHAnsi" w:hAnsiTheme="minorHAnsi"/>
        <w:b/>
        <w:bCs/>
        <w:noProof/>
        <w:lang w:eastAsia="en-GB"/>
      </w:rPr>
      <w:drawing>
        <wp:anchor distT="0" distB="0" distL="114300" distR="114300" simplePos="0" relativeHeight="251659264" behindDoc="1" locked="0" layoutInCell="1" allowOverlap="1" wp14:anchorId="47F35631" wp14:editId="5D3E612D">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34"/>
    <w:multiLevelType w:val="hybridMultilevel"/>
    <w:tmpl w:val="96CA34DE"/>
    <w:lvl w:ilvl="0" w:tplc="8B048D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00DC9"/>
    <w:multiLevelType w:val="hybridMultilevel"/>
    <w:tmpl w:val="0F4C1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F85103"/>
    <w:multiLevelType w:val="hybridMultilevel"/>
    <w:tmpl w:val="6BC85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B4E0E"/>
    <w:multiLevelType w:val="hybridMultilevel"/>
    <w:tmpl w:val="892E3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9654D1"/>
    <w:multiLevelType w:val="hybridMultilevel"/>
    <w:tmpl w:val="727EE7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25740C"/>
    <w:multiLevelType w:val="hybridMultilevel"/>
    <w:tmpl w:val="61DEE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5458E7"/>
    <w:multiLevelType w:val="hybridMultilevel"/>
    <w:tmpl w:val="A70CF17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3B7E1CA2"/>
    <w:multiLevelType w:val="hybridMultilevel"/>
    <w:tmpl w:val="65E4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53624F"/>
    <w:multiLevelType w:val="hybridMultilevel"/>
    <w:tmpl w:val="9550B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6A4776"/>
    <w:multiLevelType w:val="multilevel"/>
    <w:tmpl w:val="9CA4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A75FCD"/>
    <w:multiLevelType w:val="hybridMultilevel"/>
    <w:tmpl w:val="BE58AC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A1211D"/>
    <w:multiLevelType w:val="hybridMultilevel"/>
    <w:tmpl w:val="087022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9"/>
  </w:num>
  <w:num w:numId="4">
    <w:abstractNumId w:val="11"/>
  </w:num>
  <w:num w:numId="5">
    <w:abstractNumId w:val="6"/>
  </w:num>
  <w:num w:numId="6">
    <w:abstractNumId w:val="10"/>
  </w:num>
  <w:num w:numId="7">
    <w:abstractNumId w:val="7"/>
  </w:num>
  <w:num w:numId="8">
    <w:abstractNumId w:val="2"/>
  </w:num>
  <w:num w:numId="9">
    <w:abstractNumId w:val="4"/>
  </w:num>
  <w:num w:numId="10">
    <w:abstractNumId w:val="12"/>
  </w:num>
  <w:num w:numId="11">
    <w:abstractNumId w:val="1"/>
  </w:num>
  <w:num w:numId="12">
    <w:abstractNumId w:val="5"/>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839"/>
    <w:rsid w:val="00000197"/>
    <w:rsid w:val="00016BB6"/>
    <w:rsid w:val="00044FCD"/>
    <w:rsid w:val="0005117E"/>
    <w:rsid w:val="000540FF"/>
    <w:rsid w:val="000622A6"/>
    <w:rsid w:val="00062430"/>
    <w:rsid w:val="00073FDD"/>
    <w:rsid w:val="00095621"/>
    <w:rsid w:val="000A541E"/>
    <w:rsid w:val="000A741E"/>
    <w:rsid w:val="000C24AF"/>
    <w:rsid w:val="000C6B39"/>
    <w:rsid w:val="000E1D5B"/>
    <w:rsid w:val="0010192E"/>
    <w:rsid w:val="00103F4D"/>
    <w:rsid w:val="0015244F"/>
    <w:rsid w:val="0016763E"/>
    <w:rsid w:val="00180731"/>
    <w:rsid w:val="00187523"/>
    <w:rsid w:val="001904F3"/>
    <w:rsid w:val="001C3565"/>
    <w:rsid w:val="001C6937"/>
    <w:rsid w:val="001D243C"/>
    <w:rsid w:val="001D33F9"/>
    <w:rsid w:val="001D6CB0"/>
    <w:rsid w:val="001E212E"/>
    <w:rsid w:val="001E292D"/>
    <w:rsid w:val="001F2EC1"/>
    <w:rsid w:val="001F3126"/>
    <w:rsid w:val="0020055E"/>
    <w:rsid w:val="00201E50"/>
    <w:rsid w:val="00241B31"/>
    <w:rsid w:val="00247923"/>
    <w:rsid w:val="002B7958"/>
    <w:rsid w:val="002D47D8"/>
    <w:rsid w:val="002D4E80"/>
    <w:rsid w:val="002F33DC"/>
    <w:rsid w:val="0030753B"/>
    <w:rsid w:val="00317A17"/>
    <w:rsid w:val="003208CD"/>
    <w:rsid w:val="00323A2D"/>
    <w:rsid w:val="0033715E"/>
    <w:rsid w:val="00352B77"/>
    <w:rsid w:val="003A090F"/>
    <w:rsid w:val="003C333A"/>
    <w:rsid w:val="003D3A42"/>
    <w:rsid w:val="00420E7F"/>
    <w:rsid w:val="00487621"/>
    <w:rsid w:val="00497DE0"/>
    <w:rsid w:val="004A7B90"/>
    <w:rsid w:val="004B4810"/>
    <w:rsid w:val="004C7819"/>
    <w:rsid w:val="004D3FA7"/>
    <w:rsid w:val="004D7536"/>
    <w:rsid w:val="004F0A67"/>
    <w:rsid w:val="004F3293"/>
    <w:rsid w:val="004F3930"/>
    <w:rsid w:val="00514741"/>
    <w:rsid w:val="00516D64"/>
    <w:rsid w:val="00544C0C"/>
    <w:rsid w:val="00577A42"/>
    <w:rsid w:val="00590D21"/>
    <w:rsid w:val="005B74AC"/>
    <w:rsid w:val="005F02C4"/>
    <w:rsid w:val="00616632"/>
    <w:rsid w:val="00620448"/>
    <w:rsid w:val="00635039"/>
    <w:rsid w:val="00660D21"/>
    <w:rsid w:val="00694FC4"/>
    <w:rsid w:val="006A3A7A"/>
    <w:rsid w:val="006E0C84"/>
    <w:rsid w:val="0070281F"/>
    <w:rsid w:val="00702B4D"/>
    <w:rsid w:val="00710E40"/>
    <w:rsid w:val="00712839"/>
    <w:rsid w:val="0071497F"/>
    <w:rsid w:val="00721F2A"/>
    <w:rsid w:val="00763FA3"/>
    <w:rsid w:val="007718B0"/>
    <w:rsid w:val="007A7BCE"/>
    <w:rsid w:val="007C527F"/>
    <w:rsid w:val="007E4138"/>
    <w:rsid w:val="007E53A5"/>
    <w:rsid w:val="007F2DD8"/>
    <w:rsid w:val="007F5954"/>
    <w:rsid w:val="008015BB"/>
    <w:rsid w:val="00801629"/>
    <w:rsid w:val="008149FE"/>
    <w:rsid w:val="00832D8A"/>
    <w:rsid w:val="00834AE9"/>
    <w:rsid w:val="008534E4"/>
    <w:rsid w:val="00856061"/>
    <w:rsid w:val="00861E0B"/>
    <w:rsid w:val="008744B1"/>
    <w:rsid w:val="00880D4A"/>
    <w:rsid w:val="00896760"/>
    <w:rsid w:val="008A2934"/>
    <w:rsid w:val="008B0D87"/>
    <w:rsid w:val="008D2816"/>
    <w:rsid w:val="008D5953"/>
    <w:rsid w:val="00905DA0"/>
    <w:rsid w:val="0091367D"/>
    <w:rsid w:val="00924714"/>
    <w:rsid w:val="00943C67"/>
    <w:rsid w:val="009474EC"/>
    <w:rsid w:val="00950B4C"/>
    <w:rsid w:val="009621D9"/>
    <w:rsid w:val="00977632"/>
    <w:rsid w:val="00992D95"/>
    <w:rsid w:val="00996A87"/>
    <w:rsid w:val="009A2ED6"/>
    <w:rsid w:val="009B00C9"/>
    <w:rsid w:val="009C27F0"/>
    <w:rsid w:val="009D1266"/>
    <w:rsid w:val="009D708D"/>
    <w:rsid w:val="009F7412"/>
    <w:rsid w:val="00A03469"/>
    <w:rsid w:val="00A0604E"/>
    <w:rsid w:val="00A24407"/>
    <w:rsid w:val="00A268E2"/>
    <w:rsid w:val="00A3206E"/>
    <w:rsid w:val="00A3324B"/>
    <w:rsid w:val="00A72D5D"/>
    <w:rsid w:val="00A81EBC"/>
    <w:rsid w:val="00AE06ED"/>
    <w:rsid w:val="00B051B5"/>
    <w:rsid w:val="00B117F3"/>
    <w:rsid w:val="00B25BA3"/>
    <w:rsid w:val="00B320CF"/>
    <w:rsid w:val="00B33460"/>
    <w:rsid w:val="00B51C27"/>
    <w:rsid w:val="00B77C41"/>
    <w:rsid w:val="00B87C72"/>
    <w:rsid w:val="00B9250C"/>
    <w:rsid w:val="00BB5C47"/>
    <w:rsid w:val="00BC3EB6"/>
    <w:rsid w:val="00BC65B1"/>
    <w:rsid w:val="00C021AB"/>
    <w:rsid w:val="00C170EC"/>
    <w:rsid w:val="00C20D52"/>
    <w:rsid w:val="00C26659"/>
    <w:rsid w:val="00C52C86"/>
    <w:rsid w:val="00C846FE"/>
    <w:rsid w:val="00C92667"/>
    <w:rsid w:val="00CA0FAC"/>
    <w:rsid w:val="00CC32B9"/>
    <w:rsid w:val="00CE61B9"/>
    <w:rsid w:val="00CF3AB5"/>
    <w:rsid w:val="00D276FE"/>
    <w:rsid w:val="00D50FF0"/>
    <w:rsid w:val="00D57B0E"/>
    <w:rsid w:val="00D66537"/>
    <w:rsid w:val="00D8306B"/>
    <w:rsid w:val="00D93D0D"/>
    <w:rsid w:val="00DB7664"/>
    <w:rsid w:val="00DD1729"/>
    <w:rsid w:val="00DD77F0"/>
    <w:rsid w:val="00DD7C30"/>
    <w:rsid w:val="00DE64A3"/>
    <w:rsid w:val="00DF4E5E"/>
    <w:rsid w:val="00E0483F"/>
    <w:rsid w:val="00E10A92"/>
    <w:rsid w:val="00E45C31"/>
    <w:rsid w:val="00E5704B"/>
    <w:rsid w:val="00E60770"/>
    <w:rsid w:val="00E96A12"/>
    <w:rsid w:val="00EB1195"/>
    <w:rsid w:val="00EB6372"/>
    <w:rsid w:val="00ED3649"/>
    <w:rsid w:val="00ED5512"/>
    <w:rsid w:val="00ED6141"/>
    <w:rsid w:val="00EF4DC5"/>
    <w:rsid w:val="00F13D85"/>
    <w:rsid w:val="00F21DC1"/>
    <w:rsid w:val="00F22896"/>
    <w:rsid w:val="00F25CC7"/>
    <w:rsid w:val="00F42EB9"/>
    <w:rsid w:val="00F433E3"/>
    <w:rsid w:val="00F5718C"/>
    <w:rsid w:val="00F81C97"/>
    <w:rsid w:val="00F962C5"/>
    <w:rsid w:val="00FA4212"/>
    <w:rsid w:val="00FA61B4"/>
    <w:rsid w:val="00FB1841"/>
    <w:rsid w:val="00FC3488"/>
    <w:rsid w:val="00FC5A32"/>
    <w:rsid w:val="00FD7371"/>
    <w:rsid w:val="00FF5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490D7"/>
  <w15:docId w15:val="{A9901944-56AA-44BF-92B9-BE3D7838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DE0"/>
    <w:pPr>
      <w:spacing w:after="140"/>
      <w:textboxTightWrap w:val="lastLineOnly"/>
    </w:pPr>
    <w:rPr>
      <w:rFonts w:ascii="Arial" w:hAnsi="Arial"/>
      <w:color w:val="0F0F0F" w:themeColor="text1"/>
      <w:sz w:val="24"/>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FA4212"/>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autoRedefine/>
    <w:qFormat/>
    <w:rsid w:val="00FA4212"/>
    <w:p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212"/>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FA4212"/>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1D33F9"/>
    <w:pPr>
      <w:autoSpaceDE w:val="0"/>
      <w:autoSpaceDN w:val="0"/>
      <w:adjustRightInd w:val="0"/>
      <w:spacing w:after="140"/>
      <w:ind w:firstLine="0"/>
      <w:textboxTightWrap w:val="none"/>
    </w:pPr>
    <w:rPr>
      <w:rFonts w:cs="FrutigerLTStd-Light"/>
      <w:szCs w:val="22"/>
    </w:rPr>
  </w:style>
  <w:style w:type="character" w:customStyle="1" w:styleId="BulletlistChar">
    <w:name w:val="Bullet list Char"/>
    <w:basedOn w:val="DefaultParagraphFont"/>
    <w:link w:val="Bulletlist"/>
    <w:rsid w:val="001D33F9"/>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9C27F0"/>
    <w:rPr>
      <w:b/>
      <w:color w:val="FFFFFF" w:themeColor="background1"/>
      <w:sz w:val="84"/>
      <w:szCs w:val="84"/>
    </w:rPr>
  </w:style>
  <w:style w:type="character" w:customStyle="1" w:styleId="FrontpageTitleChar">
    <w:name w:val="Frontpage_Title Char"/>
    <w:basedOn w:val="DefaultParagraphFont"/>
    <w:link w:val="FrontpageTitle"/>
    <w:rsid w:val="009C27F0"/>
    <w:rPr>
      <w:rFonts w:ascii="Arial" w:hAnsi="Arial"/>
      <w:b/>
      <w:color w:val="FFFFFF" w:themeColor="background1"/>
      <w:sz w:val="84"/>
      <w:szCs w:val="84"/>
    </w:rPr>
  </w:style>
  <w:style w:type="paragraph" w:customStyle="1" w:styleId="Frontpagesubhead">
    <w:name w:val="Frontpage_subhead"/>
    <w:basedOn w:val="Normal"/>
    <w:link w:val="FrontpagesubheadChar"/>
    <w:autoRedefine/>
    <w:qFormat/>
    <w:rsid w:val="009C27F0"/>
    <w:rPr>
      <w:b/>
      <w:color w:val="F2F2F2" w:themeColor="background1" w:themeShade="F2"/>
      <w:sz w:val="48"/>
      <w:szCs w:val="36"/>
    </w:rPr>
  </w:style>
  <w:style w:type="character" w:customStyle="1" w:styleId="FrontpagesubheadChar">
    <w:name w:val="Frontpage_subhead Char"/>
    <w:basedOn w:val="DefaultParagraphFont"/>
    <w:link w:val="Frontpagesubhead"/>
    <w:rsid w:val="009C27F0"/>
    <w:rPr>
      <w:rFonts w:ascii="Arial" w:hAnsi="Arial"/>
      <w:b/>
      <w:color w:val="F2F2F2" w:themeColor="background1" w:themeShade="F2"/>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B6372"/>
    <w:pPr>
      <w:spacing w:after="100"/>
      <w:ind w:left="220"/>
    </w:pPr>
    <w:rPr>
      <w:color w:val="424D58" w:themeColor="accent6"/>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30753B"/>
    <w:pPr>
      <w:tabs>
        <w:tab w:val="right" w:pos="9866"/>
      </w:tabs>
      <w:spacing w:after="0"/>
    </w:pPr>
    <w:rPr>
      <w:color w:val="84919C" w:themeColor="accent2"/>
      <w:spacing w:val="-4"/>
      <w:sz w:val="18"/>
    </w:rPr>
  </w:style>
  <w:style w:type="character" w:customStyle="1" w:styleId="FooterChar">
    <w:name w:val="Footer Char"/>
    <w:basedOn w:val="DefaultParagraphFont"/>
    <w:link w:val="Footer"/>
    <w:uiPriority w:val="99"/>
    <w:rsid w:val="0030753B"/>
    <w:rPr>
      <w:rFonts w:ascii="Arial" w:hAnsi="Arial"/>
      <w:color w:val="84919C" w:themeColor="accent2"/>
      <w:spacing w:val="-4"/>
      <w:sz w:val="18"/>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9C27F0"/>
    <w:rPr>
      <w:b w:val="0"/>
      <w:color w:val="FFFFFF" w:themeColor="background1"/>
      <w:sz w:val="30"/>
    </w:rPr>
  </w:style>
  <w:style w:type="character" w:customStyle="1" w:styleId="PublisheddateChar">
    <w:name w:val="Published date Char"/>
    <w:basedOn w:val="Heading4Char"/>
    <w:link w:val="Publisheddate"/>
    <w:rsid w:val="009C27F0"/>
    <w:rPr>
      <w:rFonts w:ascii="Arial" w:hAnsi="Arial"/>
      <w:b w:val="0"/>
      <w:color w:val="FFFFFF" w:themeColor="background1"/>
      <w:sz w:val="30"/>
    </w:rPr>
  </w:style>
  <w:style w:type="character" w:customStyle="1" w:styleId="tgc">
    <w:name w:val="_tgc"/>
    <w:basedOn w:val="DefaultParagraphFont"/>
    <w:rsid w:val="00712839"/>
  </w:style>
  <w:style w:type="character" w:styleId="Emphasis">
    <w:name w:val="Emphasis"/>
    <w:basedOn w:val="DefaultParagraphFont"/>
    <w:uiPriority w:val="20"/>
    <w:qFormat/>
    <w:rsid w:val="001E212E"/>
    <w:rPr>
      <w:b/>
      <w:bCs/>
      <w:i w:val="0"/>
      <w:iCs w:val="0"/>
    </w:rPr>
  </w:style>
  <w:style w:type="table" w:styleId="TableGrid">
    <w:name w:val="Table Grid"/>
    <w:basedOn w:val="TableNormal"/>
    <w:uiPriority w:val="59"/>
    <w:rsid w:val="0032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5039"/>
    <w:pPr>
      <w:spacing w:after="0"/>
    </w:pPr>
    <w:rPr>
      <w:sz w:val="20"/>
      <w:szCs w:val="20"/>
    </w:rPr>
  </w:style>
  <w:style w:type="character" w:customStyle="1" w:styleId="FootnoteTextChar">
    <w:name w:val="Footnote Text Char"/>
    <w:basedOn w:val="DefaultParagraphFont"/>
    <w:link w:val="FootnoteText"/>
    <w:uiPriority w:val="99"/>
    <w:semiHidden/>
    <w:rsid w:val="00635039"/>
    <w:rPr>
      <w:rFonts w:ascii="Arial" w:hAnsi="Arial"/>
      <w:color w:val="0F0F0F" w:themeColor="text1"/>
    </w:rPr>
  </w:style>
  <w:style w:type="paragraph" w:customStyle="1" w:styleId="P-Text">
    <w:name w:val="P-Text"/>
    <w:uiPriority w:val="99"/>
    <w:rsid w:val="007C527F"/>
    <w:pPr>
      <w:tabs>
        <w:tab w:val="left" w:pos="567"/>
        <w:tab w:val="left" w:pos="1134"/>
        <w:tab w:val="left" w:pos="1701"/>
        <w:tab w:val="left" w:pos="2268"/>
        <w:tab w:val="left" w:pos="2835"/>
        <w:tab w:val="center" w:pos="4536"/>
        <w:tab w:val="right" w:pos="9072"/>
      </w:tabs>
      <w:spacing w:before="240"/>
      <w:ind w:left="567"/>
    </w:pPr>
    <w:rPr>
      <w:sz w:val="24"/>
      <w:lang w:eastAsia="en-GB"/>
    </w:rPr>
  </w:style>
  <w:style w:type="paragraph" w:customStyle="1" w:styleId="P-Text-No-Indent">
    <w:name w:val="P-Text-No-Indent"/>
    <w:link w:val="P-Text-No-IndentChar"/>
    <w:rsid w:val="007C527F"/>
    <w:pPr>
      <w:keepLines/>
      <w:tabs>
        <w:tab w:val="left" w:pos="567"/>
        <w:tab w:val="left" w:pos="1134"/>
        <w:tab w:val="left" w:pos="1701"/>
        <w:tab w:val="left" w:pos="2268"/>
        <w:tab w:val="left" w:pos="2835"/>
        <w:tab w:val="center" w:pos="4536"/>
        <w:tab w:val="right" w:pos="9072"/>
      </w:tabs>
      <w:spacing w:before="120" w:after="120"/>
    </w:pPr>
    <w:rPr>
      <w:sz w:val="24"/>
      <w:lang w:eastAsia="en-GB"/>
    </w:rPr>
  </w:style>
  <w:style w:type="character" w:customStyle="1" w:styleId="P-Text-No-IndentChar">
    <w:name w:val="P-Text-No-Indent Char"/>
    <w:basedOn w:val="DefaultParagraphFont"/>
    <w:link w:val="P-Text-No-Indent"/>
    <w:rsid w:val="007C527F"/>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4006">
      <w:bodyDiv w:val="1"/>
      <w:marLeft w:val="0"/>
      <w:marRight w:val="0"/>
      <w:marTop w:val="0"/>
      <w:marBottom w:val="0"/>
      <w:divBdr>
        <w:top w:val="none" w:sz="0" w:space="0" w:color="auto"/>
        <w:left w:val="none" w:sz="0" w:space="0" w:color="auto"/>
        <w:bottom w:val="none" w:sz="0" w:space="0" w:color="auto"/>
        <w:right w:val="none" w:sz="0" w:space="0" w:color="auto"/>
      </w:divBdr>
    </w:div>
    <w:div w:id="1420251366">
      <w:bodyDiv w:val="1"/>
      <w:marLeft w:val="0"/>
      <w:marRight w:val="0"/>
      <w:marTop w:val="0"/>
      <w:marBottom w:val="0"/>
      <w:divBdr>
        <w:top w:val="none" w:sz="0" w:space="0" w:color="auto"/>
        <w:left w:val="none" w:sz="0" w:space="0" w:color="auto"/>
        <w:bottom w:val="none" w:sz="0" w:space="0" w:color="auto"/>
        <w:right w:val="none" w:sz="0" w:space="0" w:color="auto"/>
      </w:divBdr>
    </w:div>
    <w:div w:id="1733961954">
      <w:bodyDiv w:val="1"/>
      <w:marLeft w:val="0"/>
      <w:marRight w:val="0"/>
      <w:marTop w:val="0"/>
      <w:marBottom w:val="0"/>
      <w:divBdr>
        <w:top w:val="none" w:sz="0" w:space="0" w:color="auto"/>
        <w:left w:val="none" w:sz="0" w:space="0" w:color="auto"/>
        <w:bottom w:val="none" w:sz="0" w:space="0" w:color="auto"/>
        <w:right w:val="none" w:sz="0" w:space="0" w:color="auto"/>
      </w:divBdr>
      <w:divsChild>
        <w:div w:id="1934821312">
          <w:marLeft w:val="0"/>
          <w:marRight w:val="0"/>
          <w:marTop w:val="0"/>
          <w:marBottom w:val="0"/>
          <w:divBdr>
            <w:top w:val="none" w:sz="0" w:space="0" w:color="auto"/>
            <w:left w:val="none" w:sz="0" w:space="0" w:color="auto"/>
            <w:bottom w:val="none" w:sz="0" w:space="0" w:color="auto"/>
            <w:right w:val="none" w:sz="0" w:space="0" w:color="auto"/>
          </w:divBdr>
          <w:divsChild>
            <w:div w:id="1993364435">
              <w:marLeft w:val="-105"/>
              <w:marRight w:val="-120"/>
              <w:marTop w:val="0"/>
              <w:marBottom w:val="0"/>
              <w:divBdr>
                <w:top w:val="none" w:sz="0" w:space="0" w:color="auto"/>
                <w:left w:val="none" w:sz="0" w:space="0" w:color="auto"/>
                <w:bottom w:val="none" w:sz="0" w:space="0" w:color="auto"/>
                <w:right w:val="none" w:sz="0" w:space="0" w:color="auto"/>
              </w:divBdr>
              <w:divsChild>
                <w:div w:id="12051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ta1skh\users\alel3\GDE\NHSDigital%20baseline%20electronic%20fetal%20monitorning.dotx" TargetMode="External"/></Relationship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SCIC Document" ma:contentTypeID="0x010100F56AC1E539A90047BC30B3C9F7C85DBF009974B1B821AB36488BB2955A9F4B5285" ma:contentTypeVersion="12" ma:contentTypeDescription="Create a new document." ma:contentTypeScope="" ma:versionID="5dfdcb8c1bc1a4b86cb664d8313a30f0">
  <xsd:schema xmlns:xsd="http://www.w3.org/2001/XMLSchema" xmlns:xs="http://www.w3.org/2001/XMLSchema" xmlns:p="http://schemas.microsoft.com/office/2006/metadata/properties" xmlns:ns2="2e9807c8-684d-4ce2-9798-0aa295dedadb" xmlns:ns3="5668c8bc-6c30-45e9-80ca-5109d4270dfd" targetNamespace="http://schemas.microsoft.com/office/2006/metadata/properties" ma:root="true" ma:fieldsID="96afeb7b74a608b9bab069257c826fab" ns2:_="" ns3:_="">
    <xsd:import namespace="2e9807c8-684d-4ce2-9798-0aa295dedadb"/>
    <xsd:import namespace="5668c8bc-6c30-45e9-80ca-5109d4270dfd"/>
    <xsd:element name="properties">
      <xsd:complexType>
        <xsd:sequence>
          <xsd:element name="documentManagement">
            <xsd:complexType>
              <xsd:all>
                <xsd:element ref="ns2:jf4655f4e78d4ac1a11c19f3a13b9f1c" minOccurs="0"/>
                <xsd:element ref="ns3:TaxCatchAll" minOccurs="0"/>
                <xsd:element ref="ns3:TaxCatchAllLabel" minOccurs="0"/>
                <xsd:element ref="ns2:hscicLastReviewDate" minOccurs="0"/>
                <xsd:element ref="ns2:hscicNextReviewDate" minOccurs="0"/>
                <xsd:element ref="ns2:k5f85a19a9254bc483709d4dbf407442" minOccurs="0"/>
                <xsd:element ref="ns2:kf16b72b2d604d459ccf7f7fae4ace43" minOccurs="0"/>
                <xsd:element ref="ns2:j628e119d7e4440dadc57ef80e73f9ed" minOccurs="0"/>
                <xsd:element ref="ns2:p4ac7e37b3be48aa8418f065aeb540e0"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07c8-684d-4ce2-9798-0aa295dedadb" elementFormDefault="qualified">
    <xsd:import namespace="http://schemas.microsoft.com/office/2006/documentManagement/types"/>
    <xsd:import namespace="http://schemas.microsoft.com/office/infopath/2007/PartnerControls"/>
    <xsd:element name="jf4655f4e78d4ac1a11c19f3a13b9f1c" ma:index="8" ma:taxonomy="true" ma:internalName="jf4655f4e78d4ac1a11c19f3a13b9f1c" ma:taxonomyFieldName="hscicDocumentType" ma:displayName="Information type" ma:default="" ma:fieldId="{3f4655f4-e78d-4ac1-a11c-19f3a13b9f1c}"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hscicLastReviewDate" ma:index="12" nillable="true" ma:displayName="Last Review Date" ma:description="" ma:format="DateOnly" ma:internalName="hscicLastReviewDate">
      <xsd:simpleType>
        <xsd:restriction base="dms:DateTime"/>
      </xsd:simpleType>
    </xsd:element>
    <xsd:element name="hscicNextReviewDate" ma:index="13" nillable="true" ma:displayName="Next Review Date" ma:description="" ma:format="DateOnly" ma:internalName="hscicNextReviewDate">
      <xsd:simpleType>
        <xsd:restriction base="dms:DateTime"/>
      </xsd:simpleType>
    </xsd:element>
    <xsd:element name="k5f85a19a9254bc483709d4dbf407442" ma:index="14" nillable="true" ma:taxonomy="true" ma:internalName="k5f85a19a9254bc483709d4dbf407442" ma:taxonomyFieldName="hscicOrgCorporateFunction" ma:displayName="Corporate Function" ma:default="" ma:fieldId="{45f85a19-a925-4bc4-8370-9d4dbf407442}" ma:taxonomyMulti="true" ma:sspId="bb72b7f4-c981-47a4-a26e-043e4b78ebf3" ma:termSetId="e481236d-d792-4c01-bb67-9165b7203bda" ma:anchorId="00000000-0000-0000-0000-000000000000" ma:open="false" ma:isKeyword="false">
      <xsd:complexType>
        <xsd:sequence>
          <xsd:element ref="pc:Terms" minOccurs="0" maxOccurs="1"/>
        </xsd:sequence>
      </xsd:complexType>
    </xsd:element>
    <xsd:element name="kf16b72b2d604d459ccf7f7fae4ace43" ma:index="16" nillable="true" ma:taxonomy="true" ma:internalName="kf16b72b2d604d459ccf7f7fae4ace43" ma:taxonomyFieldName="hscicOrgOfficeLocation" ma:displayName="Office Location" ma:default="" ma:fieldId="{4f16b72b-2d60-4d45-9ccf-7f7fae4ace43}" ma:taxonomyMulti="true" ma:sspId="bb72b7f4-c981-47a4-a26e-043e4b78ebf3" ma:termSetId="5a06e8f3-eefd-4db0-81dc-7eb52882c7df" ma:anchorId="00000000-0000-0000-0000-000000000000" ma:open="false" ma:isKeyword="false">
      <xsd:complexType>
        <xsd:sequence>
          <xsd:element ref="pc:Terms" minOccurs="0" maxOccurs="1"/>
        </xsd:sequence>
      </xsd:complexType>
    </xsd:element>
    <xsd:element name="j628e119d7e4440dadc57ef80e73f9ed" ma:index="18" nillable="true" ma:taxonomy="true" ma:internalName="j628e119d7e4440dadc57ef80e73f9ed" ma:taxonomyFieldName="hscicOrgPortfolioDomain" ma:displayName="Portfolio Domain" ma:default="" ma:fieldId="{3628e119-d7e4-440d-adc5-7ef80e73f9ed}" ma:taxonomyMulti="true" ma:sspId="bb72b7f4-c981-47a4-a26e-043e4b78ebf3" ma:termSetId="a0f7ef30-1e9f-4c0e-8184-db5dd75173c1" ma:anchorId="00000000-0000-0000-0000-000000000000" ma:open="false" ma:isKeyword="false">
      <xsd:complexType>
        <xsd:sequence>
          <xsd:element ref="pc:Terms" minOccurs="0" maxOccurs="1"/>
        </xsd:sequence>
      </xsd:complexType>
    </xsd:element>
    <xsd:element name="p4ac7e37b3be48aa8418f065aeb540e0" ma:index="20" nillable="true" ma:taxonomy="true" ma:internalName="p4ac7e37b3be48aa8418f065aeb540e0" ma:taxonomyFieldName="hscicOrgProfessionalGroup" ma:displayName="Professional Group" ma:default="" ma:fieldId="{94ac7e37-b3be-48aa-8418-f065aeb540e0}" ma:taxonomyMulti="true" ma:sspId="bb72b7f4-c981-47a4-a26e-043e4b78ebf3" ma:termSetId="7ba65347-b85e-4395-970d-ce5ca96cf573"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c8c5045-8277-483a-b8b4-cb4af49e8caa}" ma:internalName="TaxCatchAll" ma:showField="CatchAllData" ma:web="2e9807c8-684d-4ce2-9798-0aa295deda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8c5045-8277-483a-b8b4-cb4af49e8caa}" ma:internalName="TaxCatchAllLabel" ma:readOnly="true" ma:showField="CatchAllDataLabel" ma:web="2e9807c8-684d-4ce2-9798-0aa295ded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scicLastReviewDate xmlns="2e9807c8-684d-4ce2-9798-0aa295dedadb" xsi:nil="true"/>
    <k5f85a19a9254bc483709d4dbf407442 xmlns="2e9807c8-684d-4ce2-9798-0aa295dedadb">
      <Terms xmlns="http://schemas.microsoft.com/office/infopath/2007/PartnerControls"/>
    </k5f85a19a9254bc483709d4dbf407442>
    <kf16b72b2d604d459ccf7f7fae4ace43 xmlns="2e9807c8-684d-4ce2-9798-0aa295dedadb">
      <Terms xmlns="http://schemas.microsoft.com/office/infopath/2007/PartnerControls"/>
    </kf16b72b2d604d459ccf7f7fae4ace43>
    <hscicNextReviewDate xmlns="2e9807c8-684d-4ce2-9798-0aa295dedadb" xsi:nil="true"/>
    <p4ac7e37b3be48aa8418f065aeb540e0 xmlns="2e9807c8-684d-4ce2-9798-0aa295dedadb">
      <Terms xmlns="http://schemas.microsoft.com/office/infopath/2007/PartnerControls"/>
    </p4ac7e37b3be48aa8418f065aeb540e0>
    <jf4655f4e78d4ac1a11c19f3a13b9f1c xmlns="2e9807c8-684d-4ce2-9798-0aa295dedadb">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aff1a68b-1933-4dcf-8d00-314af96fd52f</TermId>
        </TermInfo>
      </Terms>
    </jf4655f4e78d4ac1a11c19f3a13b9f1c>
    <TaxCatchAll xmlns="5668c8bc-6c30-45e9-80ca-5109d4270dfd">
      <Value>147</Value>
    </TaxCatchAll>
    <j628e119d7e4440dadc57ef80e73f9ed xmlns="2e9807c8-684d-4ce2-9798-0aa295dedadb">
      <Terms xmlns="http://schemas.microsoft.com/office/infopath/2007/PartnerControls"/>
    </j628e119d7e4440dadc57ef80e73f9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636FA-17DA-4BE1-9F63-2E8DDB9CCE1C}">
  <ds:schemaRefs>
    <ds:schemaRef ds:uri="http://schemas.microsoft.com/sharepoint/v3/contenttype/forms"/>
  </ds:schemaRefs>
</ds:datastoreItem>
</file>

<file path=customXml/itemProps2.xml><?xml version="1.0" encoding="utf-8"?>
<ds:datastoreItem xmlns:ds="http://schemas.openxmlformats.org/officeDocument/2006/customXml" ds:itemID="{405F0506-E459-47BB-AD66-4CB0C11D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07c8-684d-4ce2-9798-0aa295dedadb"/>
    <ds:schemaRef ds:uri="5668c8bc-6c30-45e9-80ca-5109d4270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29EF1-7BB5-4426-81D7-938620109825}">
  <ds:schemaRefs>
    <ds:schemaRef ds:uri="http://schemas.microsoft.com/office/2006/metadata/properties"/>
    <ds:schemaRef ds:uri="http://schemas.microsoft.com/office/infopath/2007/PartnerControls"/>
    <ds:schemaRef ds:uri="2e9807c8-684d-4ce2-9798-0aa295dedadb"/>
    <ds:schemaRef ds:uri="5668c8bc-6c30-45e9-80ca-5109d4270dfd"/>
  </ds:schemaRefs>
</ds:datastoreItem>
</file>

<file path=customXml/itemProps4.xml><?xml version="1.0" encoding="utf-8"?>
<ds:datastoreItem xmlns:ds="http://schemas.openxmlformats.org/officeDocument/2006/customXml" ds:itemID="{7EE9D2D8-50F7-4A3A-AEE3-626AB7CE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NHSDigital baseline electronic fetal monitorning.dotx</Template>
  <TotalTime>5</TotalTime>
  <Pages>9</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Queen Charlotte Hospital - Electronic fetal monitoring</vt:lpstr>
    </vt:vector>
  </TitlesOfParts>
  <Company>Health &amp; Social Care Information Centre</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fetal monitoring</dc:title>
  <dc:creator>Alison Ellis</dc:creator>
  <cp:lastModifiedBy>Alison Ellis</cp:lastModifiedBy>
  <cp:revision>8</cp:revision>
  <cp:lastPrinted>2016-07-14T17:27:00Z</cp:lastPrinted>
  <dcterms:created xsi:type="dcterms:W3CDTF">2019-01-17T10:51:00Z</dcterms:created>
  <dcterms:modified xsi:type="dcterms:W3CDTF">2019-01-17T10:56:00Z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cicOrgProfessionalGroup">
    <vt:lpwstr/>
  </property>
  <property fmtid="{D5CDD505-2E9C-101B-9397-08002B2CF9AE}" pid="3" name="ContentTypeId">
    <vt:lpwstr>0x010100F56AC1E539A90047BC30B3C9F7C85DBF009974B1B821AB36488BB2955A9F4B5285</vt:lpwstr>
  </property>
  <property fmtid="{D5CDD505-2E9C-101B-9397-08002B2CF9AE}" pid="4" name="hscicOrgCorporateFunction">
    <vt:lpwstr/>
  </property>
  <property fmtid="{D5CDD505-2E9C-101B-9397-08002B2CF9AE}" pid="5" name="hscicOrgOfficeLocation">
    <vt:lpwstr/>
  </property>
  <property fmtid="{D5CDD505-2E9C-101B-9397-08002B2CF9AE}" pid="6" name="hscicOrgPortfolioDomain">
    <vt:lpwstr/>
  </property>
  <property fmtid="{D5CDD505-2E9C-101B-9397-08002B2CF9AE}" pid="7" name="hscicDocumentType">
    <vt:lpwstr>147;#Templates|aff1a68b-1933-4dcf-8d00-314af96fd52f</vt:lpwstr>
  </property>
</Properties>
</file>