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bottomFromText="454" w:vertAnchor="page" w:horzAnchor="page" w:tblpX="738" w:tblpY="625"/>
        <w:tblOverlap w:val="never"/>
        <w:tblW w:w="15363" w:type="dxa"/>
        <w:tblLook w:val="04A0" w:firstRow="1" w:lastRow="0" w:firstColumn="1" w:lastColumn="0" w:noHBand="0" w:noVBand="1"/>
      </w:tblPr>
      <w:tblGrid>
        <w:gridCol w:w="15363"/>
      </w:tblGrid>
      <w:tr w:rsidR="00313481" w14:paraId="484A26CF" w14:textId="77777777" w:rsidTr="00434787">
        <w:trPr>
          <w:trHeight w:hRule="exact" w:val="794"/>
        </w:trPr>
        <w:tc>
          <w:tcPr>
            <w:tcW w:w="10433" w:type="dxa"/>
          </w:tcPr>
          <w:p w14:paraId="36FAA2F3" w14:textId="0267654F" w:rsidR="00313481" w:rsidRDefault="009C59AD" w:rsidP="00A21D37">
            <w:pPr>
              <w:pStyle w:val="wpDate"/>
            </w:pPr>
            <w:r>
              <w:rPr>
                <w:noProof/>
                <w:lang w:eastAsia="en-GB"/>
              </w:rPr>
              <mc:AlternateContent>
                <mc:Choice Requires="wps">
                  <w:drawing>
                    <wp:anchor distT="0" distB="0" distL="114300" distR="114300" simplePos="0" relativeHeight="251659264" behindDoc="1" locked="0" layoutInCell="1" allowOverlap="1" wp14:anchorId="129725D8" wp14:editId="21F0AF79">
                      <wp:simplePos x="0" y="0"/>
                      <wp:positionH relativeFrom="page">
                        <wp:posOffset>-466725</wp:posOffset>
                      </wp:positionH>
                      <wp:positionV relativeFrom="page">
                        <wp:posOffset>-396240</wp:posOffset>
                      </wp:positionV>
                      <wp:extent cx="10692000" cy="252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92000" cy="2520000"/>
                              </a:xfrm>
                              <a:prstGeom prst="rect">
                                <a:avLst/>
                              </a:prstGeom>
                              <a:solidFill>
                                <a:srgbClr val="DA291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5015F9" w14:textId="77777777" w:rsidR="003E13FB" w:rsidRDefault="003E13FB" w:rsidP="00C16F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725D8" id="Rectangle 1" o:spid="_x0000_s1026" alt="&quot;&quot;" style="position:absolute;left:0;text-align:left;margin-left:-36.75pt;margin-top:-31.2pt;width:841.9pt;height:198.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" fillcolor="#da291c" stroked="f" strokeweight="2pt">
                      <v:textbox>
                        <w:txbxContent>
                          <w:p w14:paraId="025015F9" w14:textId="77777777" w:rsidR="003E13FB" w:rsidRDefault="003E13FB" w:rsidP="00C16FA8">
                            <w:pPr>
                              <w:jc w:val="center"/>
                            </w:pPr>
                          </w:p>
                        </w:txbxContent>
                      </v:textbox>
                      <w10:wrap anchorx="page" anchory="page"/>
                    </v:rect>
                  </w:pict>
                </mc:Fallback>
              </mc:AlternateContent>
            </w:r>
            <w:sdt>
              <w:sdtPr>
                <w:alias w:val="Date"/>
                <w:tag w:val="date"/>
                <w:id w:val="-2142028542"/>
                <w:placeholder>
                  <w:docPart w:val="9E9418288F934870BA6639F1432A406D"/>
                </w:placeholder>
                <w:text/>
              </w:sdtPr>
              <w:sdtEndPr/>
              <w:sdtContent>
                <w:r w:rsidR="00911D9C">
                  <w:t>February</w:t>
                </w:r>
                <w:r w:rsidR="00FC15E2">
                  <w:t xml:space="preserve"> 2021</w:t>
                </w:r>
              </w:sdtContent>
            </w:sdt>
          </w:p>
        </w:tc>
      </w:tr>
      <w:tr w:rsidR="00313481" w14:paraId="607599B5" w14:textId="77777777" w:rsidTr="00434787">
        <w:trPr>
          <w:trHeight w:hRule="exact" w:val="2268"/>
        </w:trPr>
        <w:tc>
          <w:tcPr>
            <w:tcW w:w="10433" w:type="dxa"/>
          </w:tcPr>
          <w:sdt>
            <w:sdtPr>
              <w:alias w:val="Title"/>
              <w:tag w:val="title"/>
              <w:id w:val="411592763"/>
              <w:placeholder>
                <w:docPart w:val="795C7E806A074F138E740C67191DD1A2"/>
              </w:placeholder>
              <w:dataBinding w:xpath="/root[1]/title[1]" w:storeItemID="{8BB247F2-FFC0-4D80-B7B8-298498AD0A69}"/>
              <w:text w:multiLine="1"/>
            </w:sdtPr>
            <w:sdtEndPr/>
            <w:sdtContent>
              <w:p w14:paraId="5FBFA791" w14:textId="109108C0" w:rsidR="00313481" w:rsidRDefault="00FC15E2" w:rsidP="00A21D37">
                <w:pPr>
                  <w:pStyle w:val="wpTitle"/>
                </w:pPr>
                <w:r w:rsidRPr="00AD2EA9">
                  <w:t xml:space="preserve"> NHS SWL CCG Evaluation of the eRedBag</w:t>
                </w:r>
                <w:r>
                  <w:t xml:space="preserve"> </w:t>
                </w:r>
              </w:p>
            </w:sdtContent>
          </w:sdt>
          <w:sdt>
            <w:sdtPr>
              <w:rPr>
                <w:i/>
                <w:iCs/>
              </w:rPr>
              <w:alias w:val="Subtitle"/>
              <w:tag w:val="subtitle"/>
              <w:id w:val="-1797141670"/>
              <w:placeholder>
                <w:docPart w:val="0BDDEF2C648C408CB7CE9BF7CD5DEECD"/>
              </w:placeholder>
              <w:text/>
            </w:sdtPr>
            <w:sdtEndPr/>
            <w:sdtContent>
              <w:p w14:paraId="568C53BF" w14:textId="1722FFAC" w:rsidR="00313481" w:rsidRDefault="00FC15E2" w:rsidP="00A21D37">
                <w:pPr>
                  <w:pStyle w:val="wpSubtitle"/>
                </w:pPr>
                <w:r w:rsidRPr="00BE1A56">
                  <w:rPr>
                    <w:i/>
                    <w:iCs/>
                  </w:rPr>
                  <w:t xml:space="preserve"> eRedBag Logic Model</w:t>
                </w:r>
              </w:p>
            </w:sdtContent>
          </w:sdt>
        </w:tc>
      </w:tr>
    </w:tbl>
    <w:tbl>
      <w:tblPr>
        <w:tblStyle w:val="SQW"/>
        <w:tblW w:w="5000" w:type="pct"/>
        <w:tblBorders>
          <w:top w:val="single" w:sz="4" w:space="0" w:color="DA291C" w:themeColor="accent1"/>
          <w:left w:val="single" w:sz="4" w:space="0" w:color="DA291C" w:themeColor="accent1"/>
          <w:bottom w:val="single" w:sz="4" w:space="0" w:color="DA291C" w:themeColor="accent1"/>
          <w:right w:val="single" w:sz="4" w:space="0" w:color="DA291C" w:themeColor="accent1"/>
          <w:insideH w:val="single" w:sz="4" w:space="0" w:color="DA291C" w:themeColor="accent1"/>
          <w:insideV w:val="single" w:sz="4" w:space="0" w:color="DA291C" w:themeColor="accent1"/>
        </w:tblBorders>
        <w:tblLayout w:type="fixed"/>
        <w:tblLook w:val="04A0" w:firstRow="1" w:lastRow="0" w:firstColumn="1" w:lastColumn="0" w:noHBand="0" w:noVBand="1"/>
      </w:tblPr>
      <w:tblGrid>
        <w:gridCol w:w="7882"/>
        <w:gridCol w:w="7508"/>
      </w:tblGrid>
      <w:tr w:rsidR="00A003CA" w:rsidRPr="00A003CA" w14:paraId="49606E62" w14:textId="77777777" w:rsidTr="00911D9C">
        <w:trPr>
          <w:cnfStyle w:val="100000000000" w:firstRow="1" w:lastRow="0" w:firstColumn="0" w:lastColumn="0" w:oddVBand="0" w:evenVBand="0" w:oddHBand="0" w:evenHBand="0" w:firstRowFirstColumn="0" w:firstRowLastColumn="0" w:lastRowFirstColumn="0" w:lastRowLastColumn="0"/>
        </w:trPr>
        <w:tc>
          <w:tcPr>
            <w:tcW w:w="72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188792" w14:textId="499F1BCA" w:rsidR="00434787" w:rsidRPr="00A003CA" w:rsidRDefault="00434787" w:rsidP="00F00989">
            <w:pPr>
              <w:pStyle w:val="BoxHeading"/>
              <w:rPr>
                <w:color w:val="auto"/>
              </w:rPr>
            </w:pPr>
            <w:r w:rsidRPr="00A003CA">
              <w:rPr>
                <w:color w:val="auto"/>
              </w:rPr>
              <w:lastRenderedPageBreak/>
              <w:t>Context and rationale</w:t>
            </w:r>
          </w:p>
          <w:p w14:paraId="5C0E958C" w14:textId="43A9C49C" w:rsidR="00434787" w:rsidRPr="00A003CA" w:rsidRDefault="00434787" w:rsidP="00434787">
            <w:pPr>
              <w:pStyle w:val="BoxHeading"/>
              <w:rPr>
                <w:rFonts w:ascii="Cambria" w:eastAsiaTheme="minorHAnsi" w:hAnsi="Cambria" w:cstheme="minorBidi"/>
                <w:b w:val="0"/>
                <w:color w:val="auto"/>
                <w:sz w:val="22"/>
                <w:szCs w:val="22"/>
              </w:rPr>
            </w:pPr>
            <w:r w:rsidRPr="00A003CA">
              <w:rPr>
                <w:rFonts w:ascii="Cambria" w:eastAsiaTheme="minorHAnsi" w:hAnsi="Cambria" w:cstheme="minorBidi"/>
                <w:b w:val="0"/>
                <w:color w:val="auto"/>
                <w:sz w:val="22"/>
                <w:szCs w:val="22"/>
              </w:rPr>
              <w:t xml:space="preserve">When frail, vulnerable care home residents attend </w:t>
            </w:r>
            <w:r w:rsidR="00C16FA8" w:rsidRPr="00A003CA">
              <w:rPr>
                <w:rFonts w:ascii="Cambria" w:eastAsiaTheme="minorHAnsi" w:hAnsi="Cambria" w:cstheme="minorBidi"/>
                <w:b w:val="0"/>
                <w:color w:val="auto"/>
                <w:sz w:val="22"/>
                <w:szCs w:val="22"/>
              </w:rPr>
              <w:t>ED</w:t>
            </w:r>
            <w:r w:rsidRPr="00A003CA">
              <w:rPr>
                <w:rFonts w:ascii="Cambria" w:eastAsiaTheme="minorHAnsi" w:hAnsi="Cambria" w:cstheme="minorBidi"/>
                <w:b w:val="0"/>
                <w:color w:val="auto"/>
                <w:sz w:val="22"/>
                <w:szCs w:val="22"/>
              </w:rPr>
              <w:t xml:space="preserve"> or have an unplanned hospital admission, they may be: too ill to describe their condition; unable to share their story in a reliable way; unable to advocate for themselves due to communication and/or cognitive impairments. If hospital staff or ambulance staff lack knowledge about the patient, this may affect treatment and length of stay. When the resident returns to the care home, staff there may receive little or no communication about changes in management and medication required. </w:t>
            </w:r>
          </w:p>
          <w:p w14:paraId="549B49B0" w14:textId="0857BB1D" w:rsidR="00434787" w:rsidRPr="00A003CA" w:rsidRDefault="00434787" w:rsidP="00434787">
            <w:pPr>
              <w:pStyle w:val="BoxHeading"/>
              <w:rPr>
                <w:rFonts w:ascii="Cambria" w:eastAsiaTheme="minorHAnsi" w:hAnsi="Cambria" w:cstheme="minorBidi"/>
                <w:b w:val="0"/>
                <w:color w:val="auto"/>
                <w:sz w:val="22"/>
                <w:szCs w:val="22"/>
              </w:rPr>
            </w:pPr>
            <w:r w:rsidRPr="00A003CA">
              <w:rPr>
                <w:rFonts w:ascii="Cambria" w:eastAsiaTheme="minorHAnsi" w:hAnsi="Cambria" w:cstheme="minorBidi"/>
                <w:bCs/>
                <w:color w:val="auto"/>
                <w:sz w:val="22"/>
                <w:szCs w:val="22"/>
              </w:rPr>
              <w:t>The initial Red Bag pathway, launched in 2015, was a physical red bag</w:t>
            </w:r>
            <w:r w:rsidRPr="00A003CA">
              <w:rPr>
                <w:rFonts w:ascii="Cambria" w:eastAsiaTheme="minorHAnsi" w:hAnsi="Cambria" w:cstheme="minorBidi"/>
                <w:b w:val="0"/>
                <w:color w:val="auto"/>
                <w:sz w:val="22"/>
                <w:szCs w:val="22"/>
              </w:rPr>
              <w:t xml:space="preserve"> designed to be sent to and from hospital with the care home resident when attending </w:t>
            </w:r>
            <w:r w:rsidR="00C16FA8" w:rsidRPr="00A003CA">
              <w:rPr>
                <w:rFonts w:ascii="Cambria" w:eastAsiaTheme="minorHAnsi" w:hAnsi="Cambria" w:cstheme="minorBidi"/>
                <w:b w:val="0"/>
                <w:color w:val="auto"/>
                <w:sz w:val="22"/>
                <w:szCs w:val="22"/>
              </w:rPr>
              <w:t>ED</w:t>
            </w:r>
            <w:r w:rsidRPr="00A003CA">
              <w:rPr>
                <w:rFonts w:ascii="Cambria" w:eastAsiaTheme="minorHAnsi" w:hAnsi="Cambria" w:cstheme="minorBidi"/>
                <w:b w:val="0"/>
                <w:color w:val="auto"/>
                <w:sz w:val="22"/>
                <w:szCs w:val="22"/>
              </w:rPr>
              <w:t xml:space="preserve"> or having an unplanned hospital admission. The bag contained physical documentation about the resident as well as important personal possessions. The Red Bag improved information transfer and communication between hospitals and care homes when residents were transferred to hospital for urgent or emergency care and returned to their care home. However, the use of paper entailed risks of documents going missing, hospital staff not knowing about the Red Bag and so missing it, out of date documents accidentally being used, and hospital staff being unable to read handwriting. </w:t>
            </w:r>
          </w:p>
        </w:tc>
        <w:tc>
          <w:tcPr>
            <w:tcW w:w="688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44C0F75" w14:textId="3089C4BB" w:rsidR="00434787" w:rsidRPr="00A003CA" w:rsidRDefault="00434787" w:rsidP="00434787">
            <w:pPr>
              <w:pStyle w:val="BoxHeading"/>
              <w:rPr>
                <w:rFonts w:ascii="Cambria" w:eastAsiaTheme="minorHAnsi" w:hAnsi="Cambria" w:cstheme="minorBidi"/>
                <w:b w:val="0"/>
                <w:color w:val="auto"/>
                <w:sz w:val="22"/>
                <w:szCs w:val="22"/>
              </w:rPr>
            </w:pPr>
            <w:r w:rsidRPr="00A003CA">
              <w:rPr>
                <w:rFonts w:ascii="Cambria" w:eastAsiaTheme="minorHAnsi" w:hAnsi="Cambria" w:cstheme="minorBidi"/>
                <w:bCs/>
                <w:color w:val="auto"/>
                <w:sz w:val="22"/>
                <w:szCs w:val="22"/>
              </w:rPr>
              <w:t xml:space="preserve">A digital version of the Red Bag, the eRedBag </w:t>
            </w:r>
            <w:r w:rsidR="005F2A2F">
              <w:rPr>
                <w:rFonts w:ascii="Cambria" w:eastAsiaTheme="minorHAnsi" w:hAnsi="Cambria" w:cstheme="minorBidi"/>
                <w:bCs/>
                <w:color w:val="auto"/>
                <w:sz w:val="22"/>
                <w:szCs w:val="22"/>
              </w:rPr>
              <w:t>P</w:t>
            </w:r>
            <w:r w:rsidRPr="00A003CA">
              <w:rPr>
                <w:rFonts w:ascii="Cambria" w:eastAsiaTheme="minorHAnsi" w:hAnsi="Cambria" w:cstheme="minorBidi"/>
                <w:bCs/>
                <w:color w:val="auto"/>
                <w:sz w:val="22"/>
                <w:szCs w:val="22"/>
              </w:rPr>
              <w:t>athway, was launched in 2019</w:t>
            </w:r>
            <w:r w:rsidRPr="00A003CA">
              <w:rPr>
                <w:rFonts w:ascii="Cambria" w:eastAsiaTheme="minorHAnsi" w:hAnsi="Cambria" w:cstheme="minorBidi"/>
                <w:b w:val="0"/>
                <w:color w:val="auto"/>
                <w:sz w:val="22"/>
                <w:szCs w:val="22"/>
              </w:rPr>
              <w:t xml:space="preserve">. The Sutton Demonstrator project was intended to test whether digitalising documents would reduce the risks associated with paper documents and improve communication between hospitals and care homes. The project showed that two care homes could electronically send the Red Bag documentation directly to the local hospital where it was uploaded to the Electronic Patient Record (EPR). </w:t>
            </w:r>
          </w:p>
          <w:p w14:paraId="7215CCD8" w14:textId="23D1F7F7" w:rsidR="00434787" w:rsidRPr="00A003CA" w:rsidRDefault="00434787" w:rsidP="00434787">
            <w:pPr>
              <w:pStyle w:val="BoxHeading"/>
              <w:rPr>
                <w:rFonts w:ascii="Cambria" w:eastAsiaTheme="minorHAnsi" w:hAnsi="Cambria" w:cstheme="minorBidi"/>
                <w:b w:val="0"/>
                <w:color w:val="auto"/>
                <w:sz w:val="22"/>
                <w:szCs w:val="22"/>
              </w:rPr>
            </w:pPr>
            <w:r w:rsidRPr="00A003CA">
              <w:rPr>
                <w:rFonts w:ascii="Cambria" w:eastAsiaTheme="minorHAnsi" w:hAnsi="Cambria" w:cstheme="minorBidi"/>
                <w:b w:val="0"/>
                <w:color w:val="auto"/>
                <w:sz w:val="22"/>
                <w:szCs w:val="22"/>
              </w:rPr>
              <w:t xml:space="preserve">The </w:t>
            </w:r>
            <w:r w:rsidRPr="00A003CA">
              <w:rPr>
                <w:rFonts w:ascii="Cambria" w:eastAsiaTheme="minorHAnsi" w:hAnsi="Cambria" w:cstheme="minorBidi"/>
                <w:bCs/>
                <w:color w:val="auto"/>
                <w:sz w:val="22"/>
                <w:szCs w:val="22"/>
              </w:rPr>
              <w:t xml:space="preserve">Social Care Digital Pathfinders programme, funded by NHS Digital, has provided funding to test whether the eRedBag </w:t>
            </w:r>
            <w:r w:rsidR="005F2A2F">
              <w:rPr>
                <w:rFonts w:ascii="Cambria" w:eastAsiaTheme="minorHAnsi" w:hAnsi="Cambria" w:cstheme="minorBidi"/>
                <w:bCs/>
                <w:color w:val="auto"/>
                <w:sz w:val="22"/>
                <w:szCs w:val="22"/>
              </w:rPr>
              <w:t>P</w:t>
            </w:r>
            <w:r w:rsidRPr="00A003CA">
              <w:rPr>
                <w:rFonts w:ascii="Cambria" w:eastAsiaTheme="minorHAnsi" w:hAnsi="Cambria" w:cstheme="minorBidi"/>
                <w:bCs/>
                <w:color w:val="auto"/>
                <w:sz w:val="22"/>
                <w:szCs w:val="22"/>
              </w:rPr>
              <w:t>athway can be scaled up</w:t>
            </w:r>
            <w:r w:rsidRPr="00A003CA">
              <w:rPr>
                <w:rFonts w:ascii="Cambria" w:eastAsiaTheme="minorHAnsi" w:hAnsi="Cambria" w:cstheme="minorBidi"/>
                <w:b w:val="0"/>
                <w:color w:val="auto"/>
                <w:sz w:val="22"/>
                <w:szCs w:val="22"/>
              </w:rPr>
              <w:t xml:space="preserve">, </w:t>
            </w:r>
            <w:r w:rsidR="00017540" w:rsidRPr="00A003CA">
              <w:rPr>
                <w:rFonts w:ascii="Cambria" w:eastAsiaTheme="minorHAnsi" w:hAnsi="Cambria" w:cstheme="minorBidi"/>
                <w:b w:val="0"/>
                <w:color w:val="auto"/>
                <w:sz w:val="22"/>
                <w:szCs w:val="22"/>
              </w:rPr>
              <w:t>covering</w:t>
            </w:r>
            <w:r w:rsidRPr="00A003CA">
              <w:rPr>
                <w:rFonts w:ascii="Cambria" w:eastAsiaTheme="minorHAnsi" w:hAnsi="Cambria" w:cstheme="minorBidi"/>
                <w:b w:val="0"/>
                <w:color w:val="auto"/>
                <w:sz w:val="22"/>
                <w:szCs w:val="22"/>
              </w:rPr>
              <w:t xml:space="preserve"> more care homes, new social care software providers and be accessed by more hospitals. The current implementation phase is focused on digital integration, specifically increasing the number of care homes in Sutton and Southern Merton passing the DSPT at ‘Standards Met’ and using the eRedBag, as well as creating a National eRedBag Standard an</w:t>
            </w:r>
            <w:r w:rsidR="00A003CA" w:rsidRPr="00A003CA">
              <w:rPr>
                <w:rFonts w:ascii="Cambria" w:eastAsiaTheme="minorHAnsi" w:hAnsi="Cambria" w:cstheme="minorBidi"/>
                <w:b w:val="0"/>
                <w:color w:val="auto"/>
                <w:sz w:val="22"/>
                <w:szCs w:val="22"/>
              </w:rPr>
              <w:t>d ‘how to’ guides for implemente</w:t>
            </w:r>
            <w:r w:rsidRPr="00A003CA">
              <w:rPr>
                <w:rFonts w:ascii="Cambria" w:eastAsiaTheme="minorHAnsi" w:hAnsi="Cambria" w:cstheme="minorBidi"/>
                <w:b w:val="0"/>
                <w:color w:val="auto"/>
                <w:sz w:val="22"/>
                <w:szCs w:val="22"/>
              </w:rPr>
              <w:t>rs.</w:t>
            </w:r>
            <w:r w:rsidR="005F2A2F">
              <w:rPr>
                <w:rFonts w:ascii="Cambria" w:eastAsiaTheme="minorHAnsi" w:hAnsi="Cambria" w:cstheme="minorBidi"/>
                <w:b w:val="0"/>
                <w:color w:val="auto"/>
                <w:sz w:val="22"/>
                <w:szCs w:val="22"/>
              </w:rPr>
              <w:t xml:space="preserve"> eRedBag </w:t>
            </w:r>
            <w:r w:rsidR="005F2A2F" w:rsidRPr="005F2A2F">
              <w:rPr>
                <w:rFonts w:ascii="Cambria" w:eastAsiaTheme="minorHAnsi" w:hAnsi="Cambria" w:cstheme="minorBidi"/>
                <w:b w:val="0"/>
                <w:color w:val="auto"/>
                <w:sz w:val="22"/>
                <w:szCs w:val="22"/>
              </w:rPr>
              <w:t xml:space="preserve">information </w:t>
            </w:r>
            <w:r w:rsidR="005F2A2F">
              <w:rPr>
                <w:rFonts w:ascii="Cambria" w:eastAsiaTheme="minorHAnsi" w:hAnsi="Cambria" w:cstheme="minorBidi"/>
                <w:b w:val="0"/>
                <w:color w:val="auto"/>
                <w:sz w:val="22"/>
                <w:szCs w:val="22"/>
              </w:rPr>
              <w:t xml:space="preserve">can now </w:t>
            </w:r>
            <w:r w:rsidR="005F2A2F" w:rsidRPr="005F2A2F">
              <w:rPr>
                <w:rFonts w:ascii="Cambria" w:eastAsiaTheme="minorHAnsi" w:hAnsi="Cambria" w:cstheme="minorBidi"/>
                <w:b w:val="0"/>
                <w:color w:val="auto"/>
                <w:sz w:val="22"/>
                <w:szCs w:val="22"/>
              </w:rPr>
              <w:t>be uploaded onto the local shared care records (Connecting your Care) for access by all acute trusts and general practices in SWL and other organisations providing direct care</w:t>
            </w:r>
            <w:r w:rsidR="005F2A2F">
              <w:rPr>
                <w:rFonts w:ascii="Cambria" w:eastAsiaTheme="minorHAnsi" w:hAnsi="Cambria" w:cstheme="minorBidi"/>
                <w:b w:val="0"/>
                <w:color w:val="auto"/>
                <w:sz w:val="22"/>
                <w:szCs w:val="22"/>
              </w:rPr>
              <w:t>. A link via t</w:t>
            </w:r>
            <w:r w:rsidR="005F2A2F" w:rsidRPr="005F2A2F">
              <w:rPr>
                <w:rFonts w:ascii="Cambria" w:eastAsiaTheme="minorHAnsi" w:hAnsi="Cambria" w:cstheme="minorBidi"/>
                <w:b w:val="0"/>
                <w:color w:val="auto"/>
                <w:sz w:val="22"/>
                <w:szCs w:val="22"/>
              </w:rPr>
              <w:t>he National Record Locator</w:t>
            </w:r>
            <w:r w:rsidR="005F2A2F">
              <w:rPr>
                <w:rFonts w:ascii="Cambria" w:eastAsiaTheme="minorHAnsi" w:hAnsi="Cambria" w:cstheme="minorBidi"/>
                <w:b w:val="0"/>
                <w:color w:val="auto"/>
                <w:sz w:val="22"/>
                <w:szCs w:val="22"/>
              </w:rPr>
              <w:t xml:space="preserve"> also allows</w:t>
            </w:r>
            <w:r w:rsidR="005F2A2F" w:rsidRPr="005F2A2F">
              <w:rPr>
                <w:rFonts w:ascii="Cambria" w:eastAsiaTheme="minorHAnsi" w:hAnsi="Cambria" w:cstheme="minorBidi"/>
                <w:b w:val="0"/>
                <w:color w:val="auto"/>
                <w:sz w:val="22"/>
                <w:szCs w:val="22"/>
              </w:rPr>
              <w:t xml:space="preserve"> ambulance staff to access</w:t>
            </w:r>
            <w:r w:rsidR="005F2A2F">
              <w:rPr>
                <w:rFonts w:ascii="Cambria" w:eastAsiaTheme="minorHAnsi" w:hAnsi="Cambria" w:cstheme="minorBidi"/>
                <w:b w:val="0"/>
                <w:color w:val="auto"/>
                <w:sz w:val="22"/>
                <w:szCs w:val="22"/>
              </w:rPr>
              <w:t xml:space="preserve"> the information.</w:t>
            </w:r>
            <w:r w:rsidR="005F2A2F" w:rsidRPr="00A003CA">
              <w:rPr>
                <w:rFonts w:ascii="Cambria" w:eastAsiaTheme="minorHAnsi" w:hAnsi="Cambria" w:cstheme="minorBidi"/>
                <w:b w:val="0"/>
                <w:color w:val="auto"/>
                <w:sz w:val="22"/>
                <w:szCs w:val="22"/>
              </w:rPr>
              <w:t xml:space="preserve"> To complete the pathway</w:t>
            </w:r>
            <w:r w:rsidR="005F2A2F">
              <w:rPr>
                <w:rFonts w:ascii="Cambria" w:eastAsiaTheme="minorHAnsi" w:hAnsi="Cambria" w:cstheme="minorBidi"/>
                <w:b w:val="0"/>
                <w:color w:val="auto"/>
                <w:sz w:val="22"/>
                <w:szCs w:val="22"/>
              </w:rPr>
              <w:t>,</w:t>
            </w:r>
            <w:r w:rsidR="005F2A2F" w:rsidRPr="00A003CA">
              <w:rPr>
                <w:rFonts w:ascii="Cambria" w:eastAsiaTheme="minorHAnsi" w:hAnsi="Cambria" w:cstheme="minorBidi"/>
                <w:b w:val="0"/>
                <w:color w:val="auto"/>
                <w:sz w:val="22"/>
                <w:szCs w:val="22"/>
              </w:rPr>
              <w:t xml:space="preserve"> discharge summary documents can be emailed directly to care homes via a shared mailbox.</w:t>
            </w:r>
          </w:p>
        </w:tc>
      </w:tr>
      <w:tr w:rsidR="00A003CA" w:rsidRPr="00A003CA" w14:paraId="40D878F5" w14:textId="77777777" w:rsidTr="00911D9C">
        <w:tc>
          <w:tcPr>
            <w:tcW w:w="14108" w:type="dxa"/>
            <w:gridSpan w:val="2"/>
          </w:tcPr>
          <w:p w14:paraId="0503C3D3" w14:textId="2B7E9C8B" w:rsidR="00434787" w:rsidRPr="00A003CA" w:rsidRDefault="00434787" w:rsidP="00F00989">
            <w:pPr>
              <w:pStyle w:val="BoxHeading"/>
              <w:rPr>
                <w:color w:val="auto"/>
              </w:rPr>
            </w:pPr>
            <w:r w:rsidRPr="00A003CA">
              <w:rPr>
                <w:color w:val="auto"/>
              </w:rPr>
              <w:lastRenderedPageBreak/>
              <w:br w:type="column"/>
              <w:t xml:space="preserve">Objectives </w:t>
            </w:r>
          </w:p>
          <w:p w14:paraId="49EEAC8E" w14:textId="77777777" w:rsidR="00434787" w:rsidRPr="00A003CA" w:rsidRDefault="00434787" w:rsidP="00434787">
            <w:pPr>
              <w:pStyle w:val="BoxHeading"/>
              <w:rPr>
                <w:rFonts w:ascii="Cambria" w:eastAsiaTheme="minorHAnsi" w:hAnsi="Cambria" w:cstheme="minorBidi"/>
                <w:b w:val="0"/>
                <w:i/>
                <w:iCs/>
                <w:color w:val="auto"/>
                <w:sz w:val="22"/>
                <w:szCs w:val="22"/>
              </w:rPr>
            </w:pPr>
            <w:r w:rsidRPr="00A003CA">
              <w:rPr>
                <w:rFonts w:ascii="Cambria" w:eastAsiaTheme="minorHAnsi" w:hAnsi="Cambria" w:cstheme="minorBidi"/>
                <w:b w:val="0"/>
                <w:i/>
                <w:iCs/>
                <w:color w:val="auto"/>
                <w:sz w:val="22"/>
                <w:szCs w:val="22"/>
              </w:rPr>
              <w:t xml:space="preserve">Overarching aim: Improve experience and outcomes for care home residents when they require urgent or emergency care by facilitating digital sharing of key information via the eRedBag. </w:t>
            </w:r>
          </w:p>
          <w:p w14:paraId="75A2864A" w14:textId="77777777" w:rsidR="00434787" w:rsidRPr="00A003CA" w:rsidRDefault="00434787" w:rsidP="00434787">
            <w:pPr>
              <w:pStyle w:val="BoxBullet"/>
              <w:rPr>
                <w:color w:val="auto"/>
              </w:rPr>
            </w:pPr>
            <w:r w:rsidRPr="00A003CA">
              <w:rPr>
                <w:color w:val="auto"/>
              </w:rPr>
              <w:t>Work with Professional Records Standards Body to publish a standard set of data that is transferred with care home residents when they go to hospital for urgent or emergency care</w:t>
            </w:r>
          </w:p>
          <w:p w14:paraId="7706A982" w14:textId="77777777" w:rsidR="00434787" w:rsidRPr="00A003CA" w:rsidRDefault="00434787" w:rsidP="00434787">
            <w:pPr>
              <w:pStyle w:val="BoxBullet"/>
              <w:rPr>
                <w:color w:val="auto"/>
              </w:rPr>
            </w:pPr>
            <w:r w:rsidRPr="00A003CA">
              <w:rPr>
                <w:color w:val="auto"/>
              </w:rPr>
              <w:t>Support care homes and hospital staff to implement and use the pathway effectively</w:t>
            </w:r>
          </w:p>
          <w:p w14:paraId="55A1E9DE" w14:textId="77777777" w:rsidR="00434787" w:rsidRPr="00A003CA" w:rsidRDefault="00434787" w:rsidP="00434787">
            <w:pPr>
              <w:pStyle w:val="BoxBullet"/>
              <w:rPr>
                <w:color w:val="auto"/>
              </w:rPr>
            </w:pPr>
            <w:r w:rsidRPr="00A003CA">
              <w:rPr>
                <w:color w:val="auto"/>
              </w:rPr>
              <w:t>Develop technical solutions and standards to transfer data from care homes to the NHS</w:t>
            </w:r>
          </w:p>
          <w:p w14:paraId="3F95DD6A" w14:textId="77777777" w:rsidR="00434787" w:rsidRPr="00A003CA" w:rsidRDefault="00434787" w:rsidP="00434787">
            <w:pPr>
              <w:pStyle w:val="BoxBullet"/>
              <w:rPr>
                <w:color w:val="auto"/>
              </w:rPr>
            </w:pPr>
            <w:r w:rsidRPr="00A003CA">
              <w:rPr>
                <w:color w:val="auto"/>
              </w:rPr>
              <w:t>Support care homes to achieve Standards Met on the Data Security and Protection Toolkit</w:t>
            </w:r>
          </w:p>
          <w:p w14:paraId="7C7C1FAF" w14:textId="735BF755" w:rsidR="00434787" w:rsidRPr="00A003CA" w:rsidRDefault="00434787" w:rsidP="00434787">
            <w:pPr>
              <w:pStyle w:val="BoxBullet"/>
              <w:rPr>
                <w:color w:val="auto"/>
              </w:rPr>
            </w:pPr>
            <w:r w:rsidRPr="00A003CA">
              <w:rPr>
                <w:color w:val="auto"/>
              </w:rPr>
              <w:t>Expand model to include new social care software providers and be accessed by more hospitals, covering more care homes and residents</w:t>
            </w:r>
          </w:p>
        </w:tc>
      </w:tr>
    </w:tbl>
    <w:p w14:paraId="175F57B3" w14:textId="77777777" w:rsidR="00434787" w:rsidRDefault="00434787" w:rsidP="00434787">
      <w:pPr>
        <w:pStyle w:val="wpSource"/>
      </w:pPr>
    </w:p>
    <w:tbl>
      <w:tblPr>
        <w:tblStyle w:val="SQWSummaryBox"/>
        <w:tblW w:w="5000" w:type="pct"/>
        <w:tblBorders>
          <w:top w:val="single" w:sz="4" w:space="0" w:color="DA291C" w:themeColor="accent1"/>
          <w:left w:val="single" w:sz="4" w:space="0" w:color="DA291C" w:themeColor="accent1"/>
          <w:bottom w:val="single" w:sz="4" w:space="0" w:color="DA291C" w:themeColor="accent1"/>
          <w:right w:val="single" w:sz="4" w:space="0" w:color="DA291C" w:themeColor="accent1"/>
          <w:insideH w:val="single" w:sz="4" w:space="0" w:color="DA291C" w:themeColor="accent1"/>
          <w:insideV w:val="single" w:sz="4" w:space="0" w:color="DA291C" w:themeColor="accent1"/>
        </w:tblBorders>
        <w:tblLayout w:type="fixed"/>
        <w:tblLook w:val="04A0" w:firstRow="1" w:lastRow="0" w:firstColumn="1" w:lastColumn="0" w:noHBand="0" w:noVBand="1"/>
      </w:tblPr>
      <w:tblGrid>
        <w:gridCol w:w="5253"/>
        <w:gridCol w:w="10137"/>
      </w:tblGrid>
      <w:tr w:rsidR="00A003CA" w:rsidRPr="00A003CA" w14:paraId="1EA866F8" w14:textId="77777777" w:rsidTr="00911D9C">
        <w:tc>
          <w:tcPr>
            <w:tcW w:w="4815" w:type="dxa"/>
            <w:shd w:val="clear" w:color="auto" w:fill="auto"/>
          </w:tcPr>
          <w:p w14:paraId="0E2E4222" w14:textId="37CC72EB" w:rsidR="00434787" w:rsidRPr="00A003CA" w:rsidRDefault="00434787" w:rsidP="00434787">
            <w:pPr>
              <w:pStyle w:val="BoxHeading"/>
              <w:rPr>
                <w:color w:val="auto"/>
              </w:rPr>
            </w:pPr>
            <w:r w:rsidRPr="00A003CA">
              <w:rPr>
                <w:color w:val="auto"/>
              </w:rPr>
              <w:lastRenderedPageBreak/>
              <w:t>Inputs</w:t>
            </w:r>
          </w:p>
          <w:p w14:paraId="1E79782F" w14:textId="77777777" w:rsidR="00434787" w:rsidRPr="00A003CA" w:rsidRDefault="00434787" w:rsidP="00434787">
            <w:pPr>
              <w:pStyle w:val="BoxBullet"/>
              <w:rPr>
                <w:color w:val="auto"/>
              </w:rPr>
            </w:pPr>
            <w:r w:rsidRPr="00A003CA">
              <w:rPr>
                <w:i/>
                <w:iCs/>
                <w:color w:val="auto"/>
              </w:rPr>
              <w:t>Funding</w:t>
            </w:r>
            <w:r w:rsidRPr="00A003CA">
              <w:rPr>
                <w:color w:val="auto"/>
              </w:rPr>
              <w:t>: £313,110 from NHS Digital’s Social Care Pathfinder Programme</w:t>
            </w:r>
          </w:p>
          <w:p w14:paraId="35045F18" w14:textId="77777777" w:rsidR="00434787" w:rsidRPr="00A003CA" w:rsidRDefault="00434787" w:rsidP="008C4105">
            <w:pPr>
              <w:pStyle w:val="BoxBullet"/>
              <w:jc w:val="left"/>
              <w:rPr>
                <w:color w:val="auto"/>
              </w:rPr>
            </w:pPr>
            <w:r w:rsidRPr="00A003CA">
              <w:rPr>
                <w:i/>
                <w:iCs/>
                <w:color w:val="auto"/>
              </w:rPr>
              <w:t>Project management and support</w:t>
            </w:r>
            <w:r w:rsidRPr="00A003CA">
              <w:rPr>
                <w:color w:val="auto"/>
              </w:rPr>
              <w:t>: including a Programme Manager, Project Manager, Project Implementation Support and Project Support Officer from London Borough of Sutton and South West London Health and Care Partnership (STP)</w:t>
            </w:r>
          </w:p>
          <w:p w14:paraId="03C0E228" w14:textId="77777777" w:rsidR="00434787" w:rsidRPr="00A003CA" w:rsidRDefault="00434787" w:rsidP="008C4105">
            <w:pPr>
              <w:pStyle w:val="BoxBullet"/>
              <w:jc w:val="left"/>
              <w:rPr>
                <w:color w:val="auto"/>
              </w:rPr>
            </w:pPr>
            <w:r w:rsidRPr="00A003CA">
              <w:rPr>
                <w:i/>
                <w:iCs/>
                <w:color w:val="auto"/>
              </w:rPr>
              <w:t>Technical support and development</w:t>
            </w:r>
            <w:r w:rsidRPr="00A003CA">
              <w:rPr>
                <w:color w:val="auto"/>
              </w:rPr>
              <w:t>: technical leadership from Care Software Providers Association (CASPA) set up by Person Centred Software, technical support from hospital staff and NHS Digital on provision of data from care homes to hospitals</w:t>
            </w:r>
          </w:p>
          <w:p w14:paraId="19B0C21E" w14:textId="7859BF22" w:rsidR="00434787" w:rsidRPr="00A003CA" w:rsidRDefault="00434787" w:rsidP="00434787">
            <w:pPr>
              <w:pStyle w:val="BoxBullet"/>
              <w:rPr>
                <w:color w:val="auto"/>
              </w:rPr>
            </w:pPr>
            <w:r w:rsidRPr="00A003CA">
              <w:rPr>
                <w:i/>
                <w:iCs/>
                <w:color w:val="auto"/>
              </w:rPr>
              <w:t>HSCN connection</w:t>
            </w:r>
            <w:r w:rsidRPr="00A003CA">
              <w:rPr>
                <w:color w:val="auto"/>
              </w:rPr>
              <w:t xml:space="preserve"> (secure network and connection to NHS Digital in care homes): direct payment from CASPA to HSCN providers</w:t>
            </w:r>
          </w:p>
          <w:p w14:paraId="2D13CB79" w14:textId="4012FF11" w:rsidR="00434787" w:rsidRPr="00A003CA" w:rsidRDefault="00434787" w:rsidP="00434787">
            <w:pPr>
              <w:pStyle w:val="BoxBullet"/>
              <w:rPr>
                <w:color w:val="auto"/>
              </w:rPr>
            </w:pPr>
            <w:r w:rsidRPr="00A003CA">
              <w:rPr>
                <w:i/>
                <w:iCs/>
                <w:color w:val="auto"/>
              </w:rPr>
              <w:t>Clinical leadership</w:t>
            </w:r>
            <w:r w:rsidRPr="00A003CA">
              <w:rPr>
                <w:color w:val="auto"/>
              </w:rPr>
              <w:t xml:space="preserve">: from the Head of Nursing at Epsom and St Helier University Hospitals NHS Trust, and London Ambulance Service </w:t>
            </w:r>
          </w:p>
          <w:p w14:paraId="33D01800" w14:textId="2623746B" w:rsidR="008C4105" w:rsidRPr="00A003CA" w:rsidRDefault="008C4105" w:rsidP="00434787">
            <w:pPr>
              <w:pStyle w:val="BoxBullet"/>
              <w:rPr>
                <w:color w:val="auto"/>
              </w:rPr>
            </w:pPr>
            <w:r w:rsidRPr="00A003CA">
              <w:rPr>
                <w:i/>
                <w:iCs/>
                <w:color w:val="auto"/>
              </w:rPr>
              <w:t>Care home engagement</w:t>
            </w:r>
            <w:r w:rsidRPr="00A003CA">
              <w:rPr>
                <w:color w:val="auto"/>
              </w:rPr>
              <w:t>: from care home managers and staff</w:t>
            </w:r>
          </w:p>
          <w:p w14:paraId="6B719AE0" w14:textId="2817F327" w:rsidR="00434787" w:rsidRPr="00A003CA" w:rsidRDefault="00434787" w:rsidP="00434787">
            <w:pPr>
              <w:pStyle w:val="BoxBullet"/>
              <w:rPr>
                <w:color w:val="auto"/>
              </w:rPr>
            </w:pPr>
            <w:r w:rsidRPr="00A003CA">
              <w:rPr>
                <w:i/>
                <w:iCs/>
                <w:color w:val="auto"/>
              </w:rPr>
              <w:t>Information Governance</w:t>
            </w:r>
            <w:r w:rsidR="00071D02" w:rsidRPr="00A003CA">
              <w:rPr>
                <w:i/>
                <w:iCs/>
                <w:color w:val="auto"/>
              </w:rPr>
              <w:t xml:space="preserve"> advice</w:t>
            </w:r>
            <w:r w:rsidRPr="00A003CA">
              <w:rPr>
                <w:color w:val="auto"/>
              </w:rPr>
              <w:t>: support from the IG Lead at North East London CSU</w:t>
            </w:r>
          </w:p>
          <w:p w14:paraId="004F6CE1" w14:textId="017BA848" w:rsidR="00434787" w:rsidRPr="00A003CA" w:rsidRDefault="00434787" w:rsidP="00434787">
            <w:pPr>
              <w:pStyle w:val="BoxBullet"/>
              <w:rPr>
                <w:color w:val="auto"/>
              </w:rPr>
            </w:pPr>
            <w:r w:rsidRPr="00A003CA">
              <w:rPr>
                <w:i/>
                <w:iCs/>
                <w:color w:val="auto"/>
              </w:rPr>
              <w:t>Communications support</w:t>
            </w:r>
            <w:r w:rsidRPr="00A003CA">
              <w:rPr>
                <w:color w:val="auto"/>
              </w:rPr>
              <w:t xml:space="preserve">: including communications staff from various </w:t>
            </w:r>
            <w:r w:rsidRPr="00A003CA">
              <w:rPr>
                <w:color w:val="auto"/>
              </w:rPr>
              <w:lastRenderedPageBreak/>
              <w:t>organisations, such as South West London Health and Care Partnership (STP), SL HIN, NHS London</w:t>
            </w:r>
          </w:p>
          <w:p w14:paraId="1CDFF84D" w14:textId="02109DA1" w:rsidR="00434787" w:rsidRPr="00A003CA" w:rsidRDefault="00434787" w:rsidP="00434787">
            <w:pPr>
              <w:pStyle w:val="BoxBullet"/>
              <w:rPr>
                <w:color w:val="auto"/>
              </w:rPr>
            </w:pPr>
            <w:r w:rsidRPr="00A003CA">
              <w:rPr>
                <w:i/>
                <w:iCs/>
                <w:color w:val="auto"/>
              </w:rPr>
              <w:t>Service user support</w:t>
            </w:r>
            <w:r w:rsidRPr="00A003CA">
              <w:rPr>
                <w:color w:val="auto"/>
              </w:rPr>
              <w:t>: in Steering Group and engagement events by Healthwatch for Sutton and Merton</w:t>
            </w:r>
          </w:p>
        </w:tc>
        <w:tc>
          <w:tcPr>
            <w:tcW w:w="9293" w:type="dxa"/>
            <w:shd w:val="clear" w:color="auto" w:fill="auto"/>
          </w:tcPr>
          <w:p w14:paraId="1A80E429" w14:textId="00345815" w:rsidR="00434787" w:rsidRPr="00A003CA" w:rsidRDefault="00434787" w:rsidP="00434787">
            <w:pPr>
              <w:pStyle w:val="BoxHeading"/>
              <w:rPr>
                <w:color w:val="auto"/>
              </w:rPr>
            </w:pPr>
            <w:bookmarkStart w:id="0" w:name="_Hlk60838683"/>
            <w:r w:rsidRPr="00A003CA">
              <w:rPr>
                <w:color w:val="auto"/>
              </w:rPr>
              <w:lastRenderedPageBreak/>
              <w:t>Activities</w:t>
            </w:r>
          </w:p>
          <w:p w14:paraId="0F2E76CE" w14:textId="160D309D" w:rsidR="00714B5C" w:rsidRPr="00A003CA" w:rsidRDefault="00714B5C" w:rsidP="009F1C05">
            <w:pPr>
              <w:pStyle w:val="BoxHeading"/>
              <w:spacing w:after="120"/>
              <w:rPr>
                <w:rFonts w:ascii="Cambria" w:eastAsiaTheme="minorHAnsi" w:hAnsi="Cambria" w:cstheme="minorBidi"/>
                <w:b w:val="0"/>
                <w:color w:val="auto"/>
                <w:sz w:val="22"/>
                <w:szCs w:val="22"/>
              </w:rPr>
            </w:pPr>
            <w:r w:rsidRPr="00A003CA">
              <w:rPr>
                <w:rFonts w:ascii="Cambria" w:eastAsiaTheme="minorHAnsi" w:hAnsi="Cambria" w:cstheme="minorBidi"/>
                <w:b w:val="0"/>
                <w:i/>
                <w:iCs/>
                <w:color w:val="auto"/>
                <w:sz w:val="22"/>
                <w:szCs w:val="22"/>
              </w:rPr>
              <w:t xml:space="preserve">Development of the current pathway and support for eRedBag users </w:t>
            </w:r>
          </w:p>
          <w:p w14:paraId="2C92C9EA" w14:textId="093FCB67" w:rsidR="009F1C05" w:rsidRPr="00A003CA" w:rsidRDefault="009F1C05" w:rsidP="009F1C05">
            <w:pPr>
              <w:pStyle w:val="BoxBullet"/>
              <w:rPr>
                <w:color w:val="auto"/>
              </w:rPr>
            </w:pPr>
            <w:r w:rsidRPr="00A003CA">
              <w:rPr>
                <w:color w:val="auto"/>
              </w:rPr>
              <w:t>Development of a</w:t>
            </w:r>
            <w:r w:rsidR="00071D02" w:rsidRPr="00A003CA">
              <w:rPr>
                <w:color w:val="auto"/>
              </w:rPr>
              <w:t xml:space="preserve">n eRedBag </w:t>
            </w:r>
            <w:r w:rsidRPr="00A003CA">
              <w:rPr>
                <w:color w:val="auto"/>
              </w:rPr>
              <w:t xml:space="preserve"> professional standard</w:t>
            </w:r>
          </w:p>
          <w:p w14:paraId="748809DA" w14:textId="530FF362" w:rsidR="009F1C05" w:rsidRPr="00A003CA" w:rsidRDefault="009F1C05" w:rsidP="009F1C05">
            <w:pPr>
              <w:pStyle w:val="BoxBullet"/>
              <w:rPr>
                <w:color w:val="auto"/>
              </w:rPr>
            </w:pPr>
            <w:r w:rsidRPr="00A003CA">
              <w:rPr>
                <w:color w:val="auto"/>
              </w:rPr>
              <w:t>Creation of ‘How to’ guides for eRedBag users including health and social care commissioners, care software providers, care home staff and owners (including large providers and head offices), acute staff, ambulance staff, community staff and care home residents’ carers/family members</w:t>
            </w:r>
          </w:p>
          <w:p w14:paraId="25F8CC06" w14:textId="2CA97B3A" w:rsidR="008C4105" w:rsidRPr="00A003CA" w:rsidRDefault="008C4105" w:rsidP="009F1C05">
            <w:pPr>
              <w:pStyle w:val="BoxBullet"/>
              <w:rPr>
                <w:color w:val="auto"/>
              </w:rPr>
            </w:pPr>
            <w:bookmarkStart w:id="1" w:name="_Hlk60838866"/>
            <w:r w:rsidRPr="00A003CA">
              <w:rPr>
                <w:color w:val="auto"/>
              </w:rPr>
              <w:t xml:space="preserve">Development of materials to support evaluation </w:t>
            </w:r>
            <w:bookmarkEnd w:id="1"/>
            <w:r w:rsidRPr="00A003CA">
              <w:rPr>
                <w:color w:val="auto"/>
              </w:rPr>
              <w:t xml:space="preserve">of eRedBag in a locality </w:t>
            </w:r>
          </w:p>
          <w:p w14:paraId="14E6882A" w14:textId="71BE860F" w:rsidR="00714B5C" w:rsidRDefault="00714B5C" w:rsidP="009F1C05">
            <w:pPr>
              <w:pStyle w:val="BoxBullet"/>
              <w:rPr>
                <w:color w:val="auto"/>
              </w:rPr>
            </w:pPr>
            <w:r w:rsidRPr="00A003CA">
              <w:rPr>
                <w:color w:val="auto"/>
              </w:rPr>
              <w:t>Delivery of workshops, focus groups, interviews, webinars and online surveys with users of the eRedBag, including clinicians, therapists, ambulance users, family members, and management and clinical staff at acute trusts to develop ways to improve the eRedBag</w:t>
            </w:r>
          </w:p>
          <w:p w14:paraId="3529DFDE" w14:textId="7DE0110D" w:rsidR="006267AB" w:rsidRPr="00A003CA" w:rsidRDefault="006267AB" w:rsidP="009F1C05">
            <w:pPr>
              <w:pStyle w:val="BoxBullet"/>
              <w:rPr>
                <w:color w:val="auto"/>
              </w:rPr>
            </w:pPr>
            <w:r>
              <w:rPr>
                <w:color w:val="auto"/>
              </w:rPr>
              <w:t>E</w:t>
            </w:r>
            <w:r w:rsidRPr="006267AB">
              <w:rPr>
                <w:color w:val="auto"/>
              </w:rPr>
              <w:t xml:space="preserve">ngagement </w:t>
            </w:r>
            <w:r>
              <w:rPr>
                <w:color w:val="auto"/>
              </w:rPr>
              <w:t xml:space="preserve">with residents and family members/carers about </w:t>
            </w:r>
            <w:r w:rsidRPr="006267AB">
              <w:rPr>
                <w:color w:val="auto"/>
              </w:rPr>
              <w:t xml:space="preserve">how the </w:t>
            </w:r>
            <w:r>
              <w:rPr>
                <w:color w:val="auto"/>
              </w:rPr>
              <w:t>eRedBag</w:t>
            </w:r>
            <w:r w:rsidRPr="006267AB">
              <w:rPr>
                <w:color w:val="auto"/>
              </w:rPr>
              <w:t xml:space="preserve"> pathway works.</w:t>
            </w:r>
          </w:p>
          <w:p w14:paraId="67FF7AB4" w14:textId="77777777" w:rsidR="00714B5C" w:rsidRPr="00A003CA" w:rsidRDefault="00714B5C" w:rsidP="00B35E79">
            <w:pPr>
              <w:pStyle w:val="BoxHeading"/>
              <w:spacing w:after="120"/>
              <w:rPr>
                <w:rFonts w:ascii="Cambria" w:eastAsiaTheme="minorHAnsi" w:hAnsi="Cambria" w:cstheme="minorBidi"/>
                <w:b w:val="0"/>
                <w:i/>
                <w:iCs/>
                <w:color w:val="auto"/>
                <w:sz w:val="22"/>
                <w:szCs w:val="22"/>
              </w:rPr>
            </w:pPr>
            <w:r w:rsidRPr="00A003CA">
              <w:rPr>
                <w:rFonts w:ascii="Cambria" w:eastAsiaTheme="minorHAnsi" w:hAnsi="Cambria" w:cstheme="minorBidi"/>
                <w:b w:val="0"/>
                <w:i/>
                <w:iCs/>
                <w:color w:val="auto"/>
                <w:sz w:val="22"/>
                <w:szCs w:val="22"/>
              </w:rPr>
              <w:t>Creation of technical solutions</w:t>
            </w:r>
          </w:p>
          <w:p w14:paraId="4F13333E" w14:textId="7A4181D4" w:rsidR="00714B5C" w:rsidRPr="00A003CA" w:rsidRDefault="00714B5C" w:rsidP="00714B5C">
            <w:pPr>
              <w:pStyle w:val="BoxBullet"/>
              <w:rPr>
                <w:color w:val="auto"/>
              </w:rPr>
            </w:pPr>
            <w:r w:rsidRPr="00A003CA">
              <w:rPr>
                <w:color w:val="auto"/>
              </w:rPr>
              <w:tab/>
              <w:t xml:space="preserve">Development of a technical solution ready for national rollout through: </w:t>
            </w:r>
          </w:p>
          <w:p w14:paraId="2EA1A1EC" w14:textId="37D4D501" w:rsidR="00714B5C" w:rsidRPr="00A003CA" w:rsidRDefault="00714B5C" w:rsidP="00853A6C">
            <w:pPr>
              <w:pStyle w:val="BoxBullet"/>
              <w:numPr>
                <w:ilvl w:val="1"/>
                <w:numId w:val="14"/>
              </w:numPr>
              <w:rPr>
                <w:color w:val="auto"/>
              </w:rPr>
            </w:pPr>
            <w:r w:rsidRPr="00A003CA">
              <w:rPr>
                <w:color w:val="auto"/>
              </w:rPr>
              <w:t xml:space="preserve">Connection to Health Information Exchange </w:t>
            </w:r>
          </w:p>
          <w:p w14:paraId="09CDB0C1" w14:textId="544381D4" w:rsidR="00714B5C" w:rsidRPr="00A003CA" w:rsidRDefault="00714B5C" w:rsidP="00853A6C">
            <w:pPr>
              <w:pStyle w:val="BoxBullet"/>
              <w:numPr>
                <w:ilvl w:val="1"/>
                <w:numId w:val="14"/>
              </w:numPr>
              <w:rPr>
                <w:color w:val="auto"/>
              </w:rPr>
            </w:pPr>
            <w:r w:rsidRPr="00A003CA">
              <w:rPr>
                <w:color w:val="auto"/>
              </w:rPr>
              <w:t>Direct connection to more local hospitals (from care homes)</w:t>
            </w:r>
          </w:p>
          <w:p w14:paraId="3302A3AC" w14:textId="7CE937A8" w:rsidR="00714B5C" w:rsidRPr="00A003CA" w:rsidRDefault="00714B5C" w:rsidP="00853A6C">
            <w:pPr>
              <w:pStyle w:val="BoxBullet"/>
              <w:numPr>
                <w:ilvl w:val="1"/>
                <w:numId w:val="14"/>
              </w:numPr>
              <w:rPr>
                <w:color w:val="auto"/>
              </w:rPr>
            </w:pPr>
            <w:r w:rsidRPr="00A003CA">
              <w:rPr>
                <w:color w:val="auto"/>
              </w:rPr>
              <w:t xml:space="preserve">Continued work on connecting End of Life Care plans and eRedBag with the National Record Locator </w:t>
            </w:r>
            <w:r w:rsidR="00A9432B" w:rsidRPr="00A003CA">
              <w:rPr>
                <w:color w:val="auto"/>
              </w:rPr>
              <w:t>and Connecting your Care to enable the eRedBag to be accessed by ambulance crews, acute and community staff</w:t>
            </w:r>
          </w:p>
          <w:p w14:paraId="074DC2DF" w14:textId="794E86A4" w:rsidR="00714B5C" w:rsidRPr="00A003CA" w:rsidRDefault="00714B5C" w:rsidP="00853A6C">
            <w:pPr>
              <w:pStyle w:val="BoxBullet"/>
              <w:numPr>
                <w:ilvl w:val="1"/>
                <w:numId w:val="14"/>
              </w:numPr>
              <w:rPr>
                <w:color w:val="auto"/>
              </w:rPr>
            </w:pPr>
            <w:r w:rsidRPr="00A003CA">
              <w:rPr>
                <w:color w:val="auto"/>
              </w:rPr>
              <w:t>Set-up and use of NHSmail for patient discharge back to care home</w:t>
            </w:r>
          </w:p>
          <w:p w14:paraId="45D93E7F" w14:textId="77777777" w:rsidR="009F1C05" w:rsidRPr="00A003CA" w:rsidRDefault="00714B5C" w:rsidP="009F1C05">
            <w:pPr>
              <w:pStyle w:val="BoxBullet"/>
              <w:rPr>
                <w:color w:val="auto"/>
              </w:rPr>
            </w:pPr>
            <w:r w:rsidRPr="00A003CA">
              <w:rPr>
                <w:color w:val="auto"/>
              </w:rPr>
              <w:tab/>
              <w:t>Development of a technical standard for care software providers to connect uniformly with the NHS</w:t>
            </w:r>
          </w:p>
          <w:p w14:paraId="0E58733C" w14:textId="01055D4F" w:rsidR="00714B5C" w:rsidRPr="00A003CA" w:rsidRDefault="00714B5C" w:rsidP="00853A6C">
            <w:pPr>
              <w:pStyle w:val="BoxBullet"/>
              <w:rPr>
                <w:color w:val="auto"/>
              </w:rPr>
            </w:pPr>
            <w:r w:rsidRPr="00A003CA">
              <w:rPr>
                <w:color w:val="auto"/>
              </w:rPr>
              <w:t>Liaison between software providers and hospital technical staff to build joint understanding of issues and solutions</w:t>
            </w:r>
          </w:p>
          <w:p w14:paraId="19F971E7" w14:textId="1247B6CC" w:rsidR="009F1C05" w:rsidRPr="00A003CA" w:rsidRDefault="009F1C05" w:rsidP="009F1C05">
            <w:pPr>
              <w:pStyle w:val="BoxHeading"/>
              <w:spacing w:after="120"/>
              <w:rPr>
                <w:rFonts w:ascii="Cambria" w:eastAsiaTheme="minorHAnsi" w:hAnsi="Cambria" w:cstheme="minorBidi"/>
                <w:b w:val="0"/>
                <w:i/>
                <w:iCs/>
                <w:color w:val="auto"/>
                <w:sz w:val="22"/>
                <w:szCs w:val="22"/>
              </w:rPr>
            </w:pPr>
            <w:r w:rsidRPr="00A003CA">
              <w:rPr>
                <w:rFonts w:ascii="Cambria" w:eastAsiaTheme="minorHAnsi" w:hAnsi="Cambria" w:cstheme="minorBidi"/>
                <w:b w:val="0"/>
                <w:i/>
                <w:iCs/>
                <w:color w:val="auto"/>
                <w:sz w:val="22"/>
                <w:szCs w:val="22"/>
              </w:rPr>
              <w:t>Stakeholder engagement</w:t>
            </w:r>
          </w:p>
          <w:p w14:paraId="11937254" w14:textId="77777777" w:rsidR="009F1C05" w:rsidRPr="00A003CA" w:rsidRDefault="009F1C05" w:rsidP="009F1C05">
            <w:pPr>
              <w:pStyle w:val="BoxBullet"/>
              <w:rPr>
                <w:color w:val="auto"/>
              </w:rPr>
            </w:pPr>
            <w:r w:rsidRPr="00A003CA">
              <w:rPr>
                <w:color w:val="auto"/>
              </w:rPr>
              <w:t xml:space="preserve">Development of relationships with new care homes and large group providers </w:t>
            </w:r>
          </w:p>
          <w:p w14:paraId="6095B7F6" w14:textId="77777777" w:rsidR="009F1C05" w:rsidRPr="00A003CA" w:rsidRDefault="009F1C05" w:rsidP="00853A6C">
            <w:pPr>
              <w:pStyle w:val="BoxBullet"/>
              <w:numPr>
                <w:ilvl w:val="1"/>
                <w:numId w:val="15"/>
              </w:numPr>
              <w:rPr>
                <w:color w:val="auto"/>
              </w:rPr>
            </w:pPr>
            <w:r w:rsidRPr="00A003CA">
              <w:rPr>
                <w:color w:val="auto"/>
              </w:rPr>
              <w:lastRenderedPageBreak/>
              <w:t>To support care homes to achieve Standards Met in the Data Security and Protection Toolkit</w:t>
            </w:r>
          </w:p>
          <w:p w14:paraId="6ABF4217" w14:textId="77777777" w:rsidR="009F1C05" w:rsidRPr="00A003CA" w:rsidRDefault="009F1C05" w:rsidP="00853A6C">
            <w:pPr>
              <w:pStyle w:val="BoxBullet"/>
              <w:numPr>
                <w:ilvl w:val="1"/>
                <w:numId w:val="15"/>
              </w:numPr>
              <w:rPr>
                <w:color w:val="auto"/>
              </w:rPr>
            </w:pPr>
            <w:r w:rsidRPr="00A003CA">
              <w:rPr>
                <w:color w:val="auto"/>
              </w:rPr>
              <w:t>To gather service user views from hospitals</w:t>
            </w:r>
          </w:p>
          <w:p w14:paraId="46575182" w14:textId="77777777" w:rsidR="009F1C05" w:rsidRPr="00A003CA" w:rsidRDefault="009F1C05" w:rsidP="00853A6C">
            <w:pPr>
              <w:pStyle w:val="BoxBullet"/>
              <w:numPr>
                <w:ilvl w:val="1"/>
                <w:numId w:val="15"/>
              </w:numPr>
              <w:rPr>
                <w:color w:val="auto"/>
              </w:rPr>
            </w:pPr>
            <w:r w:rsidRPr="00A003CA">
              <w:rPr>
                <w:color w:val="auto"/>
              </w:rPr>
              <w:t>To connect with technical teams at hospitals, Person Centred Software, Cerner, SWL Hospital Trusts, and other Local Health and Care Record exemplar sites</w:t>
            </w:r>
          </w:p>
          <w:p w14:paraId="1EDECA4F" w14:textId="77777777" w:rsidR="009F1C05" w:rsidRPr="00A003CA" w:rsidRDefault="009F1C05" w:rsidP="009F1C05">
            <w:pPr>
              <w:pStyle w:val="BoxBullet"/>
              <w:rPr>
                <w:color w:val="auto"/>
              </w:rPr>
            </w:pPr>
            <w:r w:rsidRPr="00A003CA">
              <w:rPr>
                <w:color w:val="auto"/>
              </w:rPr>
              <w:t>Ensuring inter-operational relationships between health and social care are retained</w:t>
            </w:r>
          </w:p>
          <w:p w14:paraId="6404099F" w14:textId="77777777" w:rsidR="009F1C05" w:rsidRPr="00A003CA" w:rsidRDefault="009F1C05" w:rsidP="009F1C05">
            <w:pPr>
              <w:pStyle w:val="BoxBullet"/>
              <w:rPr>
                <w:color w:val="auto"/>
              </w:rPr>
            </w:pPr>
            <w:r w:rsidRPr="00A003CA">
              <w:rPr>
                <w:color w:val="auto"/>
              </w:rPr>
              <w:t>Keeping stakeholders up to date with developments by email, one-to-one meetings, and steering groups</w:t>
            </w:r>
          </w:p>
          <w:p w14:paraId="09F1F933" w14:textId="77777777" w:rsidR="009F1C05" w:rsidRPr="00A003CA" w:rsidRDefault="009F1C05" w:rsidP="009F1C05">
            <w:pPr>
              <w:pStyle w:val="BoxBullet"/>
              <w:rPr>
                <w:color w:val="auto"/>
              </w:rPr>
            </w:pPr>
            <w:r w:rsidRPr="00A003CA">
              <w:rPr>
                <w:color w:val="auto"/>
              </w:rPr>
              <w:t>National collaboration through engagement with other Pathfinders</w:t>
            </w:r>
          </w:p>
          <w:p w14:paraId="061E303B" w14:textId="77777777" w:rsidR="009F1C05" w:rsidRPr="00A003CA" w:rsidRDefault="009F1C05" w:rsidP="00B35E79">
            <w:pPr>
              <w:pStyle w:val="BoxBullet"/>
              <w:numPr>
                <w:ilvl w:val="0"/>
                <w:numId w:val="0"/>
              </w:numPr>
              <w:spacing w:before="0" w:after="120"/>
              <w:rPr>
                <w:i/>
                <w:iCs/>
                <w:color w:val="auto"/>
              </w:rPr>
            </w:pPr>
            <w:r w:rsidRPr="00A003CA">
              <w:rPr>
                <w:i/>
                <w:iCs/>
                <w:color w:val="auto"/>
              </w:rPr>
              <w:t>Project management and governance, administration</w:t>
            </w:r>
          </w:p>
          <w:p w14:paraId="4F2D0972" w14:textId="77777777" w:rsidR="009F1C05" w:rsidRPr="00A003CA" w:rsidRDefault="009F1C05" w:rsidP="009F1C05">
            <w:pPr>
              <w:pStyle w:val="BoxBullet"/>
              <w:rPr>
                <w:color w:val="auto"/>
              </w:rPr>
            </w:pPr>
            <w:r w:rsidRPr="00A003CA">
              <w:rPr>
                <w:color w:val="auto"/>
              </w:rPr>
              <w:t>Establishment of steering group (with representatives from large group providers and SWL Digital Team) and Standards Development Working Group</w:t>
            </w:r>
          </w:p>
          <w:p w14:paraId="0DD0353B" w14:textId="77777777" w:rsidR="009F1C05" w:rsidRPr="00A003CA" w:rsidRDefault="009F1C05" w:rsidP="009F1C05">
            <w:pPr>
              <w:pStyle w:val="BoxBullet"/>
              <w:rPr>
                <w:color w:val="auto"/>
              </w:rPr>
            </w:pPr>
            <w:r w:rsidRPr="00A003CA">
              <w:rPr>
                <w:color w:val="auto"/>
              </w:rPr>
              <w:t>Oversight of communications, engagement approach and strategy, business contingency and mitigation strategies</w:t>
            </w:r>
          </w:p>
          <w:p w14:paraId="1BFC7847" w14:textId="3ED9DAF2" w:rsidR="00434787" w:rsidRPr="00A003CA" w:rsidRDefault="009F1C05" w:rsidP="00853A6C">
            <w:pPr>
              <w:pStyle w:val="BoxBullet"/>
              <w:rPr>
                <w:color w:val="auto"/>
              </w:rPr>
            </w:pPr>
            <w:r w:rsidRPr="00A003CA">
              <w:rPr>
                <w:color w:val="auto"/>
              </w:rPr>
              <w:t>Development of plans for monitoring, evaluation and benefits realisation</w:t>
            </w:r>
            <w:bookmarkEnd w:id="0"/>
            <w:r w:rsidRPr="00A003CA">
              <w:rPr>
                <w:color w:val="auto"/>
              </w:rPr>
              <w:t>.</w:t>
            </w:r>
          </w:p>
        </w:tc>
      </w:tr>
    </w:tbl>
    <w:p w14:paraId="673CFC0A" w14:textId="3701C22E" w:rsidR="00434787" w:rsidRDefault="00434787" w:rsidP="00434787">
      <w:pPr>
        <w:pStyle w:val="wpSource"/>
        <w:jc w:val="left"/>
      </w:pPr>
    </w:p>
    <w:p w14:paraId="596E5012" w14:textId="77777777" w:rsidR="006518D8" w:rsidRDefault="006518D8"/>
    <w:tbl>
      <w:tblPr>
        <w:tblStyle w:val="SQWSummaryBox"/>
        <w:tblW w:w="5000" w:type="pct"/>
        <w:tblBorders>
          <w:top w:val="single" w:sz="4" w:space="0" w:color="DA291C" w:themeColor="accent1"/>
          <w:left w:val="single" w:sz="4" w:space="0" w:color="DA291C" w:themeColor="accent1"/>
          <w:bottom w:val="single" w:sz="4" w:space="0" w:color="DA291C" w:themeColor="accent1"/>
          <w:right w:val="single" w:sz="4" w:space="0" w:color="DA291C" w:themeColor="accent1"/>
          <w:insideH w:val="single" w:sz="4" w:space="0" w:color="DA291C" w:themeColor="accent1"/>
          <w:insideV w:val="single" w:sz="4" w:space="0" w:color="DA291C" w:themeColor="accent1"/>
        </w:tblBorders>
        <w:tblLook w:val="04A0" w:firstRow="1" w:lastRow="0" w:firstColumn="1" w:lastColumn="0" w:noHBand="0" w:noVBand="1"/>
      </w:tblPr>
      <w:tblGrid>
        <w:gridCol w:w="4737"/>
        <w:gridCol w:w="6239"/>
        <w:gridCol w:w="4414"/>
      </w:tblGrid>
      <w:tr w:rsidR="00A003CA" w:rsidRPr="00A003CA" w14:paraId="64FD5500" w14:textId="741A2593" w:rsidTr="00911D9C">
        <w:trPr>
          <w:cantSplit/>
          <w:tblHeader/>
        </w:trPr>
        <w:tc>
          <w:tcPr>
            <w:tcW w:w="1539" w:type="pct"/>
            <w:shd w:val="clear" w:color="auto" w:fill="auto"/>
          </w:tcPr>
          <w:p w14:paraId="3690F6CF" w14:textId="6962E029" w:rsidR="00071D02" w:rsidRPr="00A003CA" w:rsidRDefault="00071D02" w:rsidP="00071D02">
            <w:pPr>
              <w:pStyle w:val="BoxHeading"/>
              <w:rPr>
                <w:color w:val="auto"/>
              </w:rPr>
            </w:pPr>
            <w:r w:rsidRPr="00A003CA">
              <w:rPr>
                <w:color w:val="auto"/>
              </w:rPr>
              <w:lastRenderedPageBreak/>
              <w:t>Outputs</w:t>
            </w:r>
          </w:p>
          <w:p w14:paraId="4A29E98A" w14:textId="77777777" w:rsidR="00071D02" w:rsidRPr="00A003CA" w:rsidRDefault="00071D02" w:rsidP="00B35E79">
            <w:pPr>
              <w:pStyle w:val="BoxHeading"/>
              <w:spacing w:after="120"/>
              <w:rPr>
                <w:rFonts w:ascii="Cambria" w:eastAsiaTheme="minorHAnsi" w:hAnsi="Cambria" w:cstheme="minorBidi"/>
                <w:b w:val="0"/>
                <w:i/>
                <w:iCs/>
                <w:color w:val="auto"/>
                <w:sz w:val="22"/>
                <w:szCs w:val="22"/>
              </w:rPr>
            </w:pPr>
            <w:r w:rsidRPr="00A003CA">
              <w:rPr>
                <w:rFonts w:ascii="Cambria" w:eastAsiaTheme="minorHAnsi" w:hAnsi="Cambria" w:cstheme="minorBidi"/>
                <w:b w:val="0"/>
                <w:i/>
                <w:iCs/>
                <w:color w:val="auto"/>
                <w:sz w:val="22"/>
                <w:szCs w:val="22"/>
              </w:rPr>
              <w:t>National</w:t>
            </w:r>
          </w:p>
          <w:p w14:paraId="44F12C73" w14:textId="4667BB65" w:rsidR="00071D02" w:rsidRPr="00A003CA" w:rsidRDefault="00071D02" w:rsidP="008C4105">
            <w:pPr>
              <w:pStyle w:val="BoxBullet"/>
              <w:jc w:val="left"/>
              <w:rPr>
                <w:color w:val="auto"/>
              </w:rPr>
            </w:pPr>
            <w:r w:rsidRPr="00A003CA">
              <w:rPr>
                <w:color w:val="auto"/>
              </w:rPr>
              <w:t xml:space="preserve">A National eRedBag Professional Standard </w:t>
            </w:r>
          </w:p>
          <w:p w14:paraId="7342FF08" w14:textId="77777777" w:rsidR="00071D02" w:rsidRPr="00A003CA" w:rsidRDefault="00071D02" w:rsidP="008C4105">
            <w:pPr>
              <w:pStyle w:val="BoxBullet"/>
              <w:jc w:val="left"/>
              <w:rPr>
                <w:color w:val="auto"/>
              </w:rPr>
            </w:pPr>
            <w:r w:rsidRPr="00A003CA">
              <w:rPr>
                <w:color w:val="auto"/>
              </w:rPr>
              <w:t>A national mobilisation pack of ‘How to Guides’</w:t>
            </w:r>
          </w:p>
          <w:p w14:paraId="6C3ECC24" w14:textId="77777777" w:rsidR="00071D02" w:rsidRPr="00A003CA" w:rsidRDefault="00071D02" w:rsidP="008C4105">
            <w:pPr>
              <w:pStyle w:val="BoxBullet"/>
              <w:jc w:val="left"/>
              <w:rPr>
                <w:color w:val="auto"/>
              </w:rPr>
            </w:pPr>
            <w:r w:rsidRPr="00A003CA">
              <w:rPr>
                <w:color w:val="auto"/>
              </w:rPr>
              <w:t>A technical solution ready for national rollout to 70,000 care home beds</w:t>
            </w:r>
          </w:p>
          <w:p w14:paraId="402A7332" w14:textId="27D87E3B" w:rsidR="00071D02" w:rsidRPr="00A003CA" w:rsidRDefault="00071D02" w:rsidP="008C4105">
            <w:pPr>
              <w:pStyle w:val="BoxBullet"/>
              <w:jc w:val="left"/>
              <w:rPr>
                <w:color w:val="auto"/>
              </w:rPr>
            </w:pPr>
            <w:r w:rsidRPr="00A003CA">
              <w:rPr>
                <w:color w:val="auto"/>
              </w:rPr>
              <w:t>A technical standard for care software providers to connect uniformly with the NHS</w:t>
            </w:r>
            <w:r w:rsidR="002667CB" w:rsidRPr="00A003CA">
              <w:rPr>
                <w:color w:val="auto"/>
              </w:rPr>
              <w:t xml:space="preserve"> (50 care software providers reached within health and care sector, covering 90% of care software providers (over 2,000 care homes, about 15% of all care homes))</w:t>
            </w:r>
          </w:p>
          <w:p w14:paraId="57502DCF" w14:textId="73480D09" w:rsidR="006518D8" w:rsidRPr="00A003CA" w:rsidRDefault="00853A6C" w:rsidP="007B649E">
            <w:pPr>
              <w:pStyle w:val="BoxBullet"/>
              <w:spacing w:after="120"/>
              <w:jc w:val="left"/>
              <w:rPr>
                <w:i/>
                <w:iCs/>
                <w:color w:val="auto"/>
              </w:rPr>
            </w:pPr>
            <w:r w:rsidRPr="00A003CA">
              <w:rPr>
                <w:color w:val="auto"/>
              </w:rPr>
              <w:t>Interactions with other Pathfinders</w:t>
            </w:r>
          </w:p>
          <w:p w14:paraId="63B6901E" w14:textId="6D75B290" w:rsidR="00071D02" w:rsidRPr="00A003CA" w:rsidRDefault="00071D02" w:rsidP="00285011">
            <w:pPr>
              <w:pStyle w:val="BoxHeading"/>
              <w:spacing w:after="120"/>
              <w:rPr>
                <w:rFonts w:ascii="Cambria" w:eastAsiaTheme="minorHAnsi" w:hAnsi="Cambria" w:cstheme="minorBidi"/>
                <w:b w:val="0"/>
                <w:i/>
                <w:iCs/>
                <w:color w:val="auto"/>
                <w:sz w:val="22"/>
                <w:szCs w:val="22"/>
              </w:rPr>
            </w:pPr>
            <w:r w:rsidRPr="00A003CA">
              <w:rPr>
                <w:rFonts w:ascii="Cambria" w:eastAsiaTheme="minorHAnsi" w:hAnsi="Cambria" w:cstheme="minorBidi"/>
                <w:b w:val="0"/>
                <w:i/>
                <w:iCs/>
                <w:color w:val="auto"/>
                <w:sz w:val="22"/>
                <w:szCs w:val="22"/>
              </w:rPr>
              <w:t>Local</w:t>
            </w:r>
          </w:p>
          <w:p w14:paraId="41BABE66" w14:textId="7033AA66" w:rsidR="00071D02" w:rsidRPr="00A003CA" w:rsidRDefault="00853A6C" w:rsidP="008C4105">
            <w:pPr>
              <w:pStyle w:val="BoxBullet"/>
              <w:jc w:val="left"/>
              <w:rPr>
                <w:color w:val="auto"/>
              </w:rPr>
            </w:pPr>
            <w:r w:rsidRPr="00A003CA">
              <w:rPr>
                <w:color w:val="auto"/>
              </w:rPr>
              <w:t xml:space="preserve">Interactions with </w:t>
            </w:r>
            <w:r w:rsidR="00071D02" w:rsidRPr="00A003CA">
              <w:rPr>
                <w:color w:val="auto"/>
              </w:rPr>
              <w:t xml:space="preserve">users of the eRedBag to develop </w:t>
            </w:r>
            <w:r w:rsidR="006267AB">
              <w:rPr>
                <w:color w:val="auto"/>
              </w:rPr>
              <w:t xml:space="preserve">their understanding of the pathway and gather feedback on </w:t>
            </w:r>
            <w:r w:rsidR="00071D02" w:rsidRPr="00A003CA">
              <w:rPr>
                <w:color w:val="auto"/>
              </w:rPr>
              <w:t>improve</w:t>
            </w:r>
            <w:r w:rsidRPr="00A003CA">
              <w:rPr>
                <w:color w:val="auto"/>
              </w:rPr>
              <w:t>ments to</w:t>
            </w:r>
            <w:r w:rsidR="00071D02" w:rsidRPr="00A003CA">
              <w:rPr>
                <w:color w:val="auto"/>
              </w:rPr>
              <w:t xml:space="preserve"> the eRedBag</w:t>
            </w:r>
          </w:p>
          <w:p w14:paraId="002D74F1" w14:textId="66A1E162" w:rsidR="00071D02" w:rsidRPr="00A003CA" w:rsidRDefault="00853A6C" w:rsidP="008C4105">
            <w:pPr>
              <w:pStyle w:val="BoxBullet"/>
              <w:jc w:val="left"/>
              <w:rPr>
                <w:color w:val="auto"/>
              </w:rPr>
            </w:pPr>
            <w:r w:rsidRPr="00A003CA">
              <w:rPr>
                <w:color w:val="auto"/>
              </w:rPr>
              <w:t xml:space="preserve">New </w:t>
            </w:r>
            <w:r w:rsidR="00071D02" w:rsidRPr="00A003CA">
              <w:rPr>
                <w:color w:val="auto"/>
              </w:rPr>
              <w:t>relationships with new care homes</w:t>
            </w:r>
            <w:r w:rsidRPr="00A003CA">
              <w:rPr>
                <w:color w:val="auto"/>
              </w:rPr>
              <w:t xml:space="preserve">, </w:t>
            </w:r>
            <w:r w:rsidR="00071D02" w:rsidRPr="00A003CA">
              <w:rPr>
                <w:color w:val="auto"/>
              </w:rPr>
              <w:t>large group providers</w:t>
            </w:r>
            <w:r w:rsidRPr="00A003CA">
              <w:rPr>
                <w:color w:val="auto"/>
              </w:rPr>
              <w:t xml:space="preserve">, hospital </w:t>
            </w:r>
            <w:r w:rsidR="00071D02" w:rsidRPr="00A003CA">
              <w:rPr>
                <w:color w:val="auto"/>
              </w:rPr>
              <w:t xml:space="preserve">technical teams, </w:t>
            </w:r>
            <w:r w:rsidRPr="00A003CA">
              <w:rPr>
                <w:color w:val="auto"/>
              </w:rPr>
              <w:t>software providers</w:t>
            </w:r>
            <w:r w:rsidR="00071D02" w:rsidRPr="00A003CA">
              <w:rPr>
                <w:color w:val="auto"/>
              </w:rPr>
              <w:t>, SWL Hospital Trusts</w:t>
            </w:r>
            <w:r w:rsidRPr="00A003CA">
              <w:rPr>
                <w:color w:val="auto"/>
              </w:rPr>
              <w:t xml:space="preserve"> etc.</w:t>
            </w:r>
          </w:p>
          <w:p w14:paraId="4A553AFF" w14:textId="77777777" w:rsidR="00853A6C" w:rsidRPr="00A003CA" w:rsidRDefault="00853A6C" w:rsidP="008C4105">
            <w:pPr>
              <w:pStyle w:val="BoxBullet"/>
              <w:jc w:val="left"/>
              <w:rPr>
                <w:color w:val="auto"/>
              </w:rPr>
            </w:pPr>
            <w:r w:rsidRPr="00A003CA">
              <w:rPr>
                <w:color w:val="auto"/>
              </w:rPr>
              <w:t xml:space="preserve">Informed, up to date </w:t>
            </w:r>
            <w:r w:rsidR="00071D02" w:rsidRPr="00A003CA">
              <w:rPr>
                <w:color w:val="auto"/>
              </w:rPr>
              <w:t xml:space="preserve">stakeholders </w:t>
            </w:r>
          </w:p>
          <w:p w14:paraId="3A43610E" w14:textId="46537FA2" w:rsidR="00071D02" w:rsidRPr="00A003CA" w:rsidRDefault="00853A6C" w:rsidP="008C4105">
            <w:pPr>
              <w:pStyle w:val="BoxBullet"/>
              <w:jc w:val="left"/>
              <w:rPr>
                <w:color w:val="auto"/>
              </w:rPr>
            </w:pPr>
            <w:r w:rsidRPr="00A003CA">
              <w:rPr>
                <w:color w:val="auto"/>
              </w:rPr>
              <w:lastRenderedPageBreak/>
              <w:t>S</w:t>
            </w:r>
            <w:r w:rsidR="00071D02" w:rsidRPr="00A003CA">
              <w:rPr>
                <w:color w:val="auto"/>
              </w:rPr>
              <w:t xml:space="preserve">teering </w:t>
            </w:r>
            <w:r w:rsidRPr="00A003CA">
              <w:rPr>
                <w:color w:val="auto"/>
              </w:rPr>
              <w:t>G</w:t>
            </w:r>
            <w:r w:rsidR="00071D02" w:rsidRPr="00A003CA">
              <w:rPr>
                <w:color w:val="auto"/>
              </w:rPr>
              <w:t>roup and Standards Development Working Group</w:t>
            </w:r>
            <w:r w:rsidRPr="00A003CA">
              <w:rPr>
                <w:color w:val="auto"/>
              </w:rPr>
              <w:t xml:space="preserve"> meetings</w:t>
            </w:r>
          </w:p>
          <w:p w14:paraId="7259401C" w14:textId="56F7AAB4" w:rsidR="00071D02" w:rsidRPr="00A003CA" w:rsidRDefault="00853A6C" w:rsidP="008C4105">
            <w:pPr>
              <w:pStyle w:val="BoxBullet"/>
              <w:jc w:val="left"/>
              <w:rPr>
                <w:color w:val="auto"/>
              </w:rPr>
            </w:pPr>
            <w:r w:rsidRPr="00A003CA">
              <w:rPr>
                <w:color w:val="auto"/>
              </w:rPr>
              <w:t>M</w:t>
            </w:r>
            <w:r w:rsidR="00071D02" w:rsidRPr="00A003CA">
              <w:rPr>
                <w:color w:val="auto"/>
              </w:rPr>
              <w:t>onitoring, evaluation and benefits realisation</w:t>
            </w:r>
            <w:r w:rsidRPr="00A003CA">
              <w:rPr>
                <w:color w:val="auto"/>
              </w:rPr>
              <w:t xml:space="preserve"> plans.</w:t>
            </w:r>
          </w:p>
        </w:tc>
        <w:tc>
          <w:tcPr>
            <w:tcW w:w="2027" w:type="pct"/>
            <w:shd w:val="clear" w:color="auto" w:fill="auto"/>
          </w:tcPr>
          <w:p w14:paraId="1C8B7F77" w14:textId="156253F6" w:rsidR="00071D02" w:rsidRPr="00A003CA" w:rsidRDefault="00071D02" w:rsidP="000237EB">
            <w:pPr>
              <w:pStyle w:val="BoxHeading"/>
              <w:rPr>
                <w:color w:val="auto"/>
              </w:rPr>
            </w:pPr>
            <w:r w:rsidRPr="00A003CA">
              <w:rPr>
                <w:color w:val="auto"/>
              </w:rPr>
              <w:lastRenderedPageBreak/>
              <w:t>Outcomes</w:t>
            </w:r>
          </w:p>
          <w:p w14:paraId="4E62F07D" w14:textId="189F8243" w:rsidR="00071D02" w:rsidRPr="00A003CA" w:rsidRDefault="00071D02" w:rsidP="000237EB">
            <w:pPr>
              <w:pStyle w:val="BoxHeading"/>
              <w:spacing w:after="120"/>
              <w:rPr>
                <w:rFonts w:ascii="Cambria" w:eastAsiaTheme="minorHAnsi" w:hAnsi="Cambria" w:cstheme="minorBidi"/>
                <w:b w:val="0"/>
                <w:i/>
                <w:iCs/>
                <w:color w:val="auto"/>
                <w:sz w:val="22"/>
                <w:szCs w:val="22"/>
              </w:rPr>
            </w:pPr>
            <w:r w:rsidRPr="00A003CA">
              <w:rPr>
                <w:rFonts w:ascii="Cambria" w:eastAsiaTheme="minorHAnsi" w:hAnsi="Cambria" w:cstheme="minorBidi"/>
                <w:b w:val="0"/>
                <w:i/>
                <w:iCs/>
                <w:color w:val="auto"/>
                <w:sz w:val="22"/>
                <w:szCs w:val="22"/>
              </w:rPr>
              <w:t>For care homes and hospitals</w:t>
            </w:r>
          </w:p>
          <w:p w14:paraId="44B0DC54" w14:textId="376F5FE5" w:rsidR="00071D02" w:rsidRPr="00A003CA" w:rsidRDefault="00071D02" w:rsidP="000237EB">
            <w:pPr>
              <w:pStyle w:val="BoxBullet"/>
              <w:jc w:val="left"/>
              <w:rPr>
                <w:color w:val="auto"/>
              </w:rPr>
            </w:pPr>
            <w:r w:rsidRPr="00A003CA">
              <w:rPr>
                <w:b/>
                <w:color w:val="auto"/>
              </w:rPr>
              <w:tab/>
            </w:r>
            <w:r w:rsidRPr="00A003CA">
              <w:rPr>
                <w:color w:val="auto"/>
              </w:rPr>
              <w:t>Increased take up of the DSPT</w:t>
            </w:r>
          </w:p>
          <w:p w14:paraId="50015217" w14:textId="2FC5905F" w:rsidR="00071D02" w:rsidRPr="00A003CA" w:rsidRDefault="00071D02" w:rsidP="000237EB">
            <w:pPr>
              <w:pStyle w:val="BoxBullet"/>
              <w:jc w:val="left"/>
              <w:rPr>
                <w:color w:val="auto"/>
              </w:rPr>
            </w:pPr>
            <w:r w:rsidRPr="00A003CA">
              <w:rPr>
                <w:color w:val="auto"/>
              </w:rPr>
              <w:tab/>
              <w:t>More digitally mature care homes that can connect digitally with the NHS</w:t>
            </w:r>
          </w:p>
          <w:p w14:paraId="494053B1" w14:textId="1BA0D683" w:rsidR="008C4105" w:rsidRPr="00A003CA" w:rsidRDefault="008C4105" w:rsidP="000237EB">
            <w:pPr>
              <w:pStyle w:val="BoxBullet"/>
              <w:jc w:val="left"/>
              <w:rPr>
                <w:color w:val="auto"/>
              </w:rPr>
            </w:pPr>
            <w:r w:rsidRPr="00A003CA">
              <w:rPr>
                <w:color w:val="auto"/>
              </w:rPr>
              <w:t>More digitally mature care homes offer improved care to residents (through better tracking of care and data-recording)</w:t>
            </w:r>
          </w:p>
          <w:p w14:paraId="04521684" w14:textId="0AA1024E" w:rsidR="008C4105" w:rsidRPr="00A003CA" w:rsidRDefault="008C4105" w:rsidP="000237EB">
            <w:pPr>
              <w:pStyle w:val="BoxBullet"/>
              <w:jc w:val="left"/>
              <w:rPr>
                <w:color w:val="auto"/>
              </w:rPr>
            </w:pPr>
            <w:r w:rsidRPr="00A003CA">
              <w:rPr>
                <w:color w:val="auto"/>
              </w:rPr>
              <w:t xml:space="preserve">Improved digital systems provide an opportunity for more </w:t>
            </w:r>
            <w:r w:rsidR="000237EB">
              <w:rPr>
                <w:color w:val="auto"/>
              </w:rPr>
              <w:t>effective infection control</w:t>
            </w:r>
          </w:p>
          <w:p w14:paraId="6250BE41" w14:textId="6D9C832C" w:rsidR="00853A6C" w:rsidRPr="00A003CA" w:rsidRDefault="00853A6C" w:rsidP="000237EB">
            <w:pPr>
              <w:pStyle w:val="BoxBullet"/>
              <w:jc w:val="left"/>
              <w:rPr>
                <w:color w:val="auto"/>
              </w:rPr>
            </w:pPr>
            <w:r w:rsidRPr="00A003CA">
              <w:rPr>
                <w:color w:val="auto"/>
              </w:rPr>
              <w:t xml:space="preserve">eRedBag </w:t>
            </w:r>
            <w:r w:rsidR="00281A52" w:rsidRPr="00A003CA">
              <w:rPr>
                <w:color w:val="auto"/>
              </w:rPr>
              <w:t>in use by</w:t>
            </w:r>
            <w:r w:rsidRPr="00A003CA">
              <w:rPr>
                <w:color w:val="auto"/>
              </w:rPr>
              <w:t xml:space="preserve"> care homes in </w:t>
            </w:r>
            <w:r w:rsidR="00E77851" w:rsidRPr="00A003CA">
              <w:rPr>
                <w:color w:val="auto"/>
              </w:rPr>
              <w:t>SW</w:t>
            </w:r>
            <w:r w:rsidRPr="00A003CA">
              <w:rPr>
                <w:color w:val="auto"/>
              </w:rPr>
              <w:t xml:space="preserve"> London:</w:t>
            </w:r>
          </w:p>
          <w:p w14:paraId="4E9FBBDE" w14:textId="754798BA" w:rsidR="00853A6C" w:rsidRPr="00A003CA" w:rsidRDefault="00853A6C" w:rsidP="000237EB">
            <w:pPr>
              <w:pStyle w:val="BoxBullet"/>
              <w:numPr>
                <w:ilvl w:val="1"/>
                <w:numId w:val="19"/>
              </w:numPr>
              <w:jc w:val="left"/>
              <w:rPr>
                <w:color w:val="auto"/>
              </w:rPr>
            </w:pPr>
            <w:r w:rsidRPr="00A003CA">
              <w:rPr>
                <w:color w:val="auto"/>
              </w:rPr>
              <w:t>60% beds from Sutton and southern Merton (approx. 730 beds) who use St Helier hospital over a 12-month period</w:t>
            </w:r>
            <w:r w:rsidR="00E77851" w:rsidRPr="00A003CA">
              <w:rPr>
                <w:color w:val="auto"/>
              </w:rPr>
              <w:t xml:space="preserve"> send residents to hospital with an eRedBag</w:t>
            </w:r>
          </w:p>
          <w:p w14:paraId="0166DD9F" w14:textId="5EB4A292" w:rsidR="00853A6C" w:rsidRPr="00A003CA" w:rsidRDefault="00853A6C" w:rsidP="000237EB">
            <w:pPr>
              <w:pStyle w:val="BoxBullet"/>
              <w:numPr>
                <w:ilvl w:val="1"/>
                <w:numId w:val="19"/>
              </w:numPr>
              <w:jc w:val="left"/>
              <w:rPr>
                <w:color w:val="auto"/>
              </w:rPr>
            </w:pPr>
            <w:r w:rsidRPr="00A003CA">
              <w:rPr>
                <w:color w:val="auto"/>
              </w:rPr>
              <w:t xml:space="preserve">20% beds from the rest of </w:t>
            </w:r>
            <w:r w:rsidR="00E77851" w:rsidRPr="00A003CA">
              <w:rPr>
                <w:color w:val="auto"/>
              </w:rPr>
              <w:t>SWL</w:t>
            </w:r>
            <w:r w:rsidRPr="00A003CA">
              <w:rPr>
                <w:color w:val="auto"/>
              </w:rPr>
              <w:t xml:space="preserve"> (approx. 1,130 beds) over a 12-month period</w:t>
            </w:r>
            <w:r w:rsidR="00E77851" w:rsidRPr="00A003CA">
              <w:rPr>
                <w:color w:val="auto"/>
              </w:rPr>
              <w:t xml:space="preserve"> send residents to hospital with an eRedBag.</w:t>
            </w:r>
          </w:p>
          <w:p w14:paraId="5DB71272" w14:textId="34C8ED46" w:rsidR="00071D02" w:rsidRPr="00A003CA" w:rsidRDefault="0094434D" w:rsidP="000237EB">
            <w:pPr>
              <w:pStyle w:val="BoxBullet"/>
              <w:jc w:val="left"/>
              <w:rPr>
                <w:color w:val="auto"/>
              </w:rPr>
            </w:pPr>
            <w:r w:rsidRPr="00A003CA">
              <w:rPr>
                <w:color w:val="auto"/>
              </w:rPr>
              <w:t>T</w:t>
            </w:r>
            <w:r w:rsidR="00071D02" w:rsidRPr="00A003CA">
              <w:rPr>
                <w:color w:val="auto"/>
              </w:rPr>
              <w:t xml:space="preserve">ime saved on filling in forms and making telephone calls for care home staff and hospital staff </w:t>
            </w:r>
          </w:p>
          <w:p w14:paraId="534B944D" w14:textId="7F41CC2C" w:rsidR="00071D02" w:rsidRPr="00A003CA" w:rsidRDefault="00071D02" w:rsidP="000237EB">
            <w:pPr>
              <w:pStyle w:val="BoxBullet"/>
              <w:jc w:val="left"/>
              <w:rPr>
                <w:color w:val="auto"/>
              </w:rPr>
            </w:pPr>
            <w:r w:rsidRPr="00A003CA">
              <w:rPr>
                <w:color w:val="auto"/>
              </w:rPr>
              <w:t xml:space="preserve">Improved communication across </w:t>
            </w:r>
            <w:r w:rsidR="00E2097B" w:rsidRPr="00A003CA">
              <w:rPr>
                <w:color w:val="auto"/>
              </w:rPr>
              <w:t>organisations</w:t>
            </w:r>
            <w:r w:rsidRPr="00A003CA">
              <w:rPr>
                <w:color w:val="auto"/>
              </w:rPr>
              <w:t xml:space="preserve"> resulting in reliable, up-to-date, consistent quality information</w:t>
            </w:r>
            <w:r w:rsidR="00E2097B" w:rsidRPr="00A003CA">
              <w:rPr>
                <w:color w:val="auto"/>
              </w:rPr>
              <w:t xml:space="preserve"> about patients/residents</w:t>
            </w:r>
          </w:p>
          <w:p w14:paraId="1585359A" w14:textId="1A42A8CD" w:rsidR="00071D02" w:rsidRPr="00A003CA" w:rsidRDefault="00071D02" w:rsidP="000237EB">
            <w:pPr>
              <w:pStyle w:val="BoxBullet"/>
              <w:jc w:val="left"/>
              <w:rPr>
                <w:color w:val="auto"/>
              </w:rPr>
            </w:pPr>
            <w:r w:rsidRPr="00A003CA">
              <w:rPr>
                <w:color w:val="auto"/>
              </w:rPr>
              <w:tab/>
              <w:t>Reduced risk of data breaches</w:t>
            </w:r>
          </w:p>
          <w:p w14:paraId="32661071" w14:textId="77777777" w:rsidR="00071D02" w:rsidRPr="00A003CA" w:rsidRDefault="00071D02" w:rsidP="000237EB">
            <w:pPr>
              <w:pStyle w:val="BoxHeading"/>
              <w:spacing w:after="120"/>
              <w:rPr>
                <w:rFonts w:ascii="Cambria" w:eastAsiaTheme="minorHAnsi" w:hAnsi="Cambria" w:cstheme="minorBidi"/>
                <w:b w:val="0"/>
                <w:i/>
                <w:iCs/>
                <w:color w:val="auto"/>
                <w:sz w:val="22"/>
                <w:szCs w:val="22"/>
              </w:rPr>
            </w:pPr>
            <w:r w:rsidRPr="00A003CA">
              <w:rPr>
                <w:rFonts w:ascii="Cambria" w:eastAsiaTheme="minorHAnsi" w:hAnsi="Cambria" w:cstheme="minorBidi"/>
                <w:b w:val="0"/>
                <w:i/>
                <w:iCs/>
                <w:color w:val="auto"/>
                <w:sz w:val="22"/>
                <w:szCs w:val="22"/>
              </w:rPr>
              <w:t>For patients / care home residents</w:t>
            </w:r>
          </w:p>
          <w:p w14:paraId="53CB30B3" w14:textId="3DCF4B72" w:rsidR="00E2097B" w:rsidRPr="00A003CA" w:rsidRDefault="00071D02" w:rsidP="000237EB">
            <w:pPr>
              <w:pStyle w:val="BoxBullet"/>
              <w:jc w:val="left"/>
              <w:rPr>
                <w:color w:val="auto"/>
              </w:rPr>
            </w:pPr>
            <w:r w:rsidRPr="00A003CA">
              <w:rPr>
                <w:color w:val="auto"/>
              </w:rPr>
              <w:tab/>
            </w:r>
            <w:r w:rsidR="00E2097B" w:rsidRPr="00A003CA">
              <w:rPr>
                <w:color w:val="auto"/>
              </w:rPr>
              <w:t xml:space="preserve">Fewer </w:t>
            </w:r>
            <w:r w:rsidR="00412A94" w:rsidRPr="00A003CA">
              <w:rPr>
                <w:color w:val="auto"/>
              </w:rPr>
              <w:t>ambulance</w:t>
            </w:r>
            <w:r w:rsidR="00E2097B" w:rsidRPr="00A003CA">
              <w:rPr>
                <w:color w:val="auto"/>
              </w:rPr>
              <w:t xml:space="preserve"> conveyances </w:t>
            </w:r>
          </w:p>
          <w:p w14:paraId="5D600E24" w14:textId="19D4DCA6" w:rsidR="00E2097B" w:rsidRPr="00A003CA" w:rsidRDefault="00E2097B" w:rsidP="000237EB">
            <w:pPr>
              <w:pStyle w:val="BoxBullet"/>
              <w:jc w:val="left"/>
              <w:rPr>
                <w:color w:val="auto"/>
              </w:rPr>
            </w:pPr>
            <w:r w:rsidRPr="00A003CA">
              <w:rPr>
                <w:color w:val="auto"/>
              </w:rPr>
              <w:t xml:space="preserve">Fewer </w:t>
            </w:r>
            <w:r w:rsidR="00C16FA8" w:rsidRPr="00A003CA">
              <w:rPr>
                <w:color w:val="auto"/>
              </w:rPr>
              <w:t>ED</w:t>
            </w:r>
            <w:r w:rsidRPr="00A003CA">
              <w:rPr>
                <w:color w:val="auto"/>
              </w:rPr>
              <w:t xml:space="preserve"> attendances </w:t>
            </w:r>
          </w:p>
          <w:p w14:paraId="3CE80285" w14:textId="77777777" w:rsidR="00E2097B" w:rsidRPr="00A003CA" w:rsidRDefault="00E2097B" w:rsidP="000237EB">
            <w:pPr>
              <w:pStyle w:val="BoxBullet"/>
              <w:jc w:val="left"/>
              <w:rPr>
                <w:color w:val="auto"/>
              </w:rPr>
            </w:pPr>
            <w:r w:rsidRPr="00A003CA">
              <w:rPr>
                <w:color w:val="auto"/>
              </w:rPr>
              <w:lastRenderedPageBreak/>
              <w:t>Fewer hospital admissions (NELs)</w:t>
            </w:r>
          </w:p>
          <w:p w14:paraId="382B27F9" w14:textId="193F770E" w:rsidR="00071D02" w:rsidRPr="00A003CA" w:rsidRDefault="00071D02" w:rsidP="000237EB">
            <w:pPr>
              <w:pStyle w:val="BoxBullet"/>
              <w:jc w:val="left"/>
              <w:rPr>
                <w:color w:val="auto"/>
              </w:rPr>
            </w:pPr>
            <w:r w:rsidRPr="00A003CA">
              <w:rPr>
                <w:color w:val="auto"/>
              </w:rPr>
              <w:tab/>
              <w:t>Reduced length of stay</w:t>
            </w:r>
          </w:p>
          <w:p w14:paraId="7BBEA759" w14:textId="5383270B" w:rsidR="00071D02" w:rsidRPr="00A003CA" w:rsidRDefault="00071D02" w:rsidP="000237EB">
            <w:pPr>
              <w:pStyle w:val="BoxBullet"/>
              <w:jc w:val="left"/>
              <w:rPr>
                <w:color w:val="auto"/>
              </w:rPr>
            </w:pPr>
            <w:r w:rsidRPr="00A003CA">
              <w:rPr>
                <w:color w:val="auto"/>
              </w:rPr>
              <w:tab/>
              <w:t>Reduced readmissions (NEL)</w:t>
            </w:r>
          </w:p>
          <w:p w14:paraId="5A7858E8" w14:textId="1FED7949" w:rsidR="00071D02" w:rsidRPr="00A003CA" w:rsidRDefault="00071D02" w:rsidP="000237EB">
            <w:pPr>
              <w:pStyle w:val="BoxBullet"/>
              <w:jc w:val="left"/>
              <w:rPr>
                <w:color w:val="auto"/>
              </w:rPr>
            </w:pPr>
            <w:r w:rsidRPr="00A003CA">
              <w:rPr>
                <w:color w:val="auto"/>
              </w:rPr>
              <w:tab/>
              <w:t xml:space="preserve">More efficient assessments at </w:t>
            </w:r>
            <w:r w:rsidR="00C16FA8" w:rsidRPr="00A003CA">
              <w:rPr>
                <w:color w:val="auto"/>
              </w:rPr>
              <w:t>ED</w:t>
            </w:r>
            <w:r w:rsidRPr="00A003CA">
              <w:rPr>
                <w:color w:val="auto"/>
              </w:rPr>
              <w:t xml:space="preserve"> attendances and on admission</w:t>
            </w:r>
          </w:p>
          <w:p w14:paraId="711EA484" w14:textId="77777777" w:rsidR="008C4105" w:rsidRPr="00A003CA" w:rsidRDefault="008C4105" w:rsidP="000237EB">
            <w:pPr>
              <w:pStyle w:val="BoxBullet"/>
              <w:jc w:val="left"/>
              <w:rPr>
                <w:color w:val="auto"/>
              </w:rPr>
            </w:pPr>
            <w:r w:rsidRPr="00A003CA">
              <w:rPr>
                <w:color w:val="auto"/>
              </w:rPr>
              <w:t xml:space="preserve">Reduced need to repeat unnecessary tests             </w:t>
            </w:r>
          </w:p>
          <w:p w14:paraId="18BF587C" w14:textId="19133970" w:rsidR="00071D02" w:rsidRPr="00A003CA" w:rsidRDefault="00071D02" w:rsidP="000237EB">
            <w:pPr>
              <w:pStyle w:val="BoxBullet"/>
              <w:jc w:val="left"/>
              <w:rPr>
                <w:color w:val="auto"/>
              </w:rPr>
            </w:pPr>
            <w:r w:rsidRPr="00A003CA">
              <w:rPr>
                <w:color w:val="auto"/>
              </w:rPr>
              <w:tab/>
              <w:t>Needs met in a timely way</w:t>
            </w:r>
          </w:p>
          <w:p w14:paraId="7FB24E28" w14:textId="3D2D0C21" w:rsidR="00071D02" w:rsidRPr="00A003CA" w:rsidRDefault="00071D02" w:rsidP="000237EB">
            <w:pPr>
              <w:pStyle w:val="BoxBullet"/>
              <w:jc w:val="left"/>
              <w:rPr>
                <w:color w:val="auto"/>
              </w:rPr>
            </w:pPr>
            <w:r w:rsidRPr="00A003CA">
              <w:rPr>
                <w:color w:val="auto"/>
              </w:rPr>
              <w:tab/>
              <w:t>Improved end of life care through advanced care plans and DNAR availability</w:t>
            </w:r>
          </w:p>
          <w:p w14:paraId="48C2B928" w14:textId="043720B7" w:rsidR="00071D02" w:rsidRPr="00A003CA" w:rsidRDefault="00071D02" w:rsidP="000237EB">
            <w:pPr>
              <w:pStyle w:val="BoxBullet"/>
              <w:jc w:val="left"/>
              <w:rPr>
                <w:b/>
                <w:color w:val="auto"/>
              </w:rPr>
            </w:pPr>
            <w:r w:rsidRPr="00A003CA">
              <w:rPr>
                <w:color w:val="auto"/>
              </w:rPr>
              <w:tab/>
              <w:t>Reassurance for residents’ family/carers</w:t>
            </w:r>
          </w:p>
        </w:tc>
        <w:tc>
          <w:tcPr>
            <w:tcW w:w="1434" w:type="pct"/>
            <w:shd w:val="clear" w:color="auto" w:fill="auto"/>
          </w:tcPr>
          <w:p w14:paraId="1BEEF880" w14:textId="6AEFF7A9" w:rsidR="00071D02" w:rsidRPr="00A003CA" w:rsidRDefault="00071D02" w:rsidP="000237EB">
            <w:pPr>
              <w:pStyle w:val="BoxHeading"/>
              <w:rPr>
                <w:color w:val="auto"/>
              </w:rPr>
            </w:pPr>
            <w:r w:rsidRPr="00A003CA">
              <w:rPr>
                <w:color w:val="auto"/>
              </w:rPr>
              <w:lastRenderedPageBreak/>
              <w:t>Impacts</w:t>
            </w:r>
          </w:p>
          <w:p w14:paraId="2BA04658" w14:textId="6EB7D250" w:rsidR="00071D02" w:rsidRPr="00A003CA" w:rsidRDefault="00412A94" w:rsidP="000237EB">
            <w:pPr>
              <w:pStyle w:val="BoxHeading"/>
              <w:rPr>
                <w:rFonts w:ascii="Cambria" w:eastAsiaTheme="minorHAnsi" w:hAnsi="Cambria" w:cstheme="minorBidi"/>
                <w:b w:val="0"/>
                <w:color w:val="auto"/>
                <w:sz w:val="22"/>
                <w:szCs w:val="22"/>
              </w:rPr>
            </w:pPr>
            <w:r w:rsidRPr="00A003CA">
              <w:rPr>
                <w:rFonts w:ascii="Cambria" w:eastAsiaTheme="minorHAnsi" w:hAnsi="Cambria" w:cstheme="minorBidi"/>
                <w:b w:val="0"/>
                <w:color w:val="auto"/>
                <w:sz w:val="22"/>
                <w:szCs w:val="22"/>
              </w:rPr>
              <w:t>[</w:t>
            </w:r>
            <w:r w:rsidR="00071D02" w:rsidRPr="00A003CA">
              <w:rPr>
                <w:rFonts w:ascii="Cambria" w:eastAsiaTheme="minorHAnsi" w:hAnsi="Cambria" w:cstheme="minorBidi"/>
                <w:b w:val="0"/>
                <w:color w:val="auto"/>
                <w:sz w:val="22"/>
                <w:szCs w:val="22"/>
              </w:rPr>
              <w:t>Against national Pathfinders logic model</w:t>
            </w:r>
            <w:r w:rsidRPr="00A003CA">
              <w:rPr>
                <w:rFonts w:ascii="Cambria" w:eastAsiaTheme="minorHAnsi" w:hAnsi="Cambria" w:cstheme="minorBidi"/>
                <w:b w:val="0"/>
                <w:color w:val="auto"/>
                <w:sz w:val="22"/>
                <w:szCs w:val="22"/>
              </w:rPr>
              <w:t>]</w:t>
            </w:r>
          </w:p>
          <w:p w14:paraId="3EB759D6" w14:textId="15ACE8BF" w:rsidR="00071D02" w:rsidRPr="00A003CA" w:rsidRDefault="00071D02" w:rsidP="000237EB">
            <w:pPr>
              <w:pStyle w:val="BoxBullet"/>
              <w:jc w:val="left"/>
              <w:rPr>
                <w:color w:val="auto"/>
              </w:rPr>
            </w:pPr>
            <w:r w:rsidRPr="00A003CA">
              <w:rPr>
                <w:color w:val="auto"/>
              </w:rPr>
              <w:tab/>
              <w:t>Better sharing of information across the health and social care system</w:t>
            </w:r>
          </w:p>
          <w:p w14:paraId="1AFE459B" w14:textId="25699F23" w:rsidR="00071D02" w:rsidRPr="00A003CA" w:rsidRDefault="00071D02" w:rsidP="000237EB">
            <w:pPr>
              <w:pStyle w:val="BoxBullet"/>
              <w:jc w:val="left"/>
              <w:rPr>
                <w:color w:val="auto"/>
              </w:rPr>
            </w:pPr>
            <w:r w:rsidRPr="00A003CA">
              <w:rPr>
                <w:color w:val="auto"/>
              </w:rPr>
              <w:tab/>
              <w:t>Increased prevention of escalating health and social care needs</w:t>
            </w:r>
          </w:p>
          <w:p w14:paraId="27C0FD23" w14:textId="600ABA95" w:rsidR="00071D02" w:rsidRPr="00A003CA" w:rsidRDefault="00071D02" w:rsidP="000237EB">
            <w:pPr>
              <w:pStyle w:val="BoxBullet"/>
              <w:jc w:val="left"/>
              <w:rPr>
                <w:color w:val="auto"/>
              </w:rPr>
            </w:pPr>
            <w:r w:rsidRPr="00A003CA">
              <w:rPr>
                <w:color w:val="auto"/>
              </w:rPr>
              <w:tab/>
              <w:t>Improved patient experience, quality of care and safeguarding (and experience of family/carers)</w:t>
            </w:r>
          </w:p>
          <w:p w14:paraId="6473C1C4" w14:textId="21B589F0" w:rsidR="00071D02" w:rsidRPr="00A003CA" w:rsidRDefault="00071D02" w:rsidP="000237EB">
            <w:pPr>
              <w:pStyle w:val="BoxBullet"/>
              <w:jc w:val="left"/>
              <w:rPr>
                <w:color w:val="auto"/>
              </w:rPr>
            </w:pPr>
            <w:r w:rsidRPr="00A003CA">
              <w:rPr>
                <w:color w:val="auto"/>
              </w:rPr>
              <w:tab/>
              <w:t xml:space="preserve">More time available by hospital staff to spend on patients with greater need due to fewer </w:t>
            </w:r>
            <w:r w:rsidR="00412A94" w:rsidRPr="00A003CA">
              <w:rPr>
                <w:color w:val="auto"/>
              </w:rPr>
              <w:t xml:space="preserve">ambulance conveyances, </w:t>
            </w:r>
            <w:r w:rsidR="00C16FA8" w:rsidRPr="00A003CA">
              <w:rPr>
                <w:color w:val="auto"/>
              </w:rPr>
              <w:t>ED</w:t>
            </w:r>
            <w:r w:rsidRPr="00A003CA">
              <w:rPr>
                <w:color w:val="auto"/>
              </w:rPr>
              <w:t xml:space="preserve"> attendances, NEL admissions, readmissions </w:t>
            </w:r>
            <w:r w:rsidR="00412A94" w:rsidRPr="00A003CA">
              <w:rPr>
                <w:color w:val="auto"/>
              </w:rPr>
              <w:t>and shorter LOS.</w:t>
            </w:r>
          </w:p>
          <w:p w14:paraId="1EC1667E" w14:textId="77777777" w:rsidR="0094434D" w:rsidRPr="00A003CA" w:rsidRDefault="0094434D" w:rsidP="000237EB">
            <w:pPr>
              <w:pStyle w:val="BoxBullet"/>
              <w:jc w:val="left"/>
              <w:rPr>
                <w:color w:val="auto"/>
              </w:rPr>
            </w:pPr>
            <w:r w:rsidRPr="00A003CA">
              <w:rPr>
                <w:color w:val="auto"/>
              </w:rPr>
              <w:tab/>
              <w:t>Improved job satisfaction for care home and hospital staff</w:t>
            </w:r>
          </w:p>
          <w:p w14:paraId="0C6B4250" w14:textId="1B54F899" w:rsidR="0094434D" w:rsidRPr="00A003CA" w:rsidRDefault="0094434D" w:rsidP="000237EB">
            <w:pPr>
              <w:pStyle w:val="BoxBullet"/>
              <w:jc w:val="left"/>
              <w:rPr>
                <w:color w:val="auto"/>
              </w:rPr>
            </w:pPr>
            <w:r w:rsidRPr="00A003CA">
              <w:rPr>
                <w:color w:val="auto"/>
              </w:rPr>
              <w:t>Savings of £5.7m over life cycle of programme (ROI of 5.9)</w:t>
            </w:r>
          </w:p>
        </w:tc>
      </w:tr>
    </w:tbl>
    <w:p w14:paraId="1814F4FB" w14:textId="77777777" w:rsidR="00071D02" w:rsidRDefault="00071D02" w:rsidP="00071D02">
      <w:pPr>
        <w:pStyle w:val="wpSource"/>
      </w:pPr>
    </w:p>
    <w:tbl>
      <w:tblPr>
        <w:tblStyle w:val="SQWSummaryBox"/>
        <w:tblW w:w="0" w:type="auto"/>
        <w:tblBorders>
          <w:top w:val="single" w:sz="4" w:space="0" w:color="DA291C" w:themeColor="accent1"/>
          <w:left w:val="single" w:sz="4" w:space="0" w:color="DA291C" w:themeColor="accent1"/>
          <w:bottom w:val="single" w:sz="4" w:space="0" w:color="DA291C" w:themeColor="accent1"/>
          <w:right w:val="single" w:sz="4" w:space="0" w:color="DA291C" w:themeColor="accent1"/>
          <w:insideH w:val="single" w:sz="4" w:space="0" w:color="DA291C" w:themeColor="accent1"/>
          <w:insideV w:val="single" w:sz="4" w:space="0" w:color="DA291C" w:themeColor="accent1"/>
        </w:tblBorders>
        <w:tblLook w:val="04A0" w:firstRow="1" w:lastRow="0" w:firstColumn="1" w:lastColumn="0" w:noHBand="0" w:noVBand="1"/>
      </w:tblPr>
      <w:tblGrid>
        <w:gridCol w:w="5382"/>
        <w:gridCol w:w="4322"/>
        <w:gridCol w:w="5686"/>
      </w:tblGrid>
      <w:tr w:rsidR="00B54C3E" w14:paraId="57BDEB83" w14:textId="77777777" w:rsidTr="00911D9C">
        <w:tc>
          <w:tcPr>
            <w:tcW w:w="0" w:type="auto"/>
            <w:gridSpan w:val="3"/>
            <w:shd w:val="clear" w:color="auto" w:fill="auto"/>
          </w:tcPr>
          <w:p w14:paraId="0B2CFBA0" w14:textId="12AEA455" w:rsidR="00B54C3E" w:rsidRPr="00911D9C" w:rsidRDefault="00B54C3E" w:rsidP="00B54C3E">
            <w:pPr>
              <w:pStyle w:val="BoxHeading"/>
              <w:spacing w:after="0"/>
              <w:jc w:val="center"/>
              <w:rPr>
                <w:rFonts w:ascii="Cambria" w:eastAsiaTheme="minorHAnsi" w:hAnsi="Cambria" w:cstheme="minorBidi"/>
                <w:b w:val="0"/>
                <w:color w:val="auto"/>
                <w:sz w:val="22"/>
                <w:szCs w:val="22"/>
              </w:rPr>
            </w:pPr>
            <w:r w:rsidRPr="00911D9C">
              <w:rPr>
                <w:color w:val="auto"/>
              </w:rPr>
              <w:lastRenderedPageBreak/>
              <w:t>Assumptions and drivers of change</w:t>
            </w:r>
          </w:p>
        </w:tc>
      </w:tr>
      <w:tr w:rsidR="00A003CA" w:rsidRPr="00A003CA" w14:paraId="2F090AF9" w14:textId="6580E89B" w:rsidTr="00911D9C">
        <w:tc>
          <w:tcPr>
            <w:tcW w:w="5382" w:type="dxa"/>
            <w:shd w:val="clear" w:color="auto" w:fill="auto"/>
          </w:tcPr>
          <w:p w14:paraId="290066A5" w14:textId="77777777" w:rsidR="00B54C3E" w:rsidRPr="00A003CA" w:rsidRDefault="00B54C3E" w:rsidP="000237EB">
            <w:pPr>
              <w:pStyle w:val="BoxHeading"/>
              <w:spacing w:after="120"/>
              <w:rPr>
                <w:rFonts w:ascii="Cambria" w:eastAsiaTheme="minorHAnsi" w:hAnsi="Cambria" w:cstheme="minorBidi"/>
                <w:b w:val="0"/>
                <w:i/>
                <w:iCs/>
                <w:color w:val="auto"/>
                <w:sz w:val="22"/>
                <w:szCs w:val="22"/>
              </w:rPr>
            </w:pPr>
            <w:r w:rsidRPr="00A003CA">
              <w:rPr>
                <w:rFonts w:ascii="Cambria" w:eastAsiaTheme="minorHAnsi" w:hAnsi="Cambria" w:cstheme="minorBidi"/>
                <w:b w:val="0"/>
                <w:i/>
                <w:iCs/>
                <w:color w:val="auto"/>
                <w:sz w:val="22"/>
                <w:szCs w:val="22"/>
              </w:rPr>
              <w:t>Strategy</w:t>
            </w:r>
          </w:p>
          <w:p w14:paraId="038A6851" w14:textId="77777777" w:rsidR="00C16FA8" w:rsidRPr="00A003CA" w:rsidRDefault="00C16FA8" w:rsidP="000237EB">
            <w:pPr>
              <w:pStyle w:val="BoxBullet"/>
              <w:jc w:val="left"/>
              <w:rPr>
                <w:color w:val="auto"/>
              </w:rPr>
            </w:pPr>
            <w:r w:rsidRPr="00A003CA">
              <w:rPr>
                <w:color w:val="auto"/>
              </w:rPr>
              <w:t>The NHS Long Term Plan contains a commitment to roll out the Enhanced Health in Care Homes Framework by 2024. One element of the EHCH Framework is secure sharing of information between care homes and NHS staff via access to NHSmail and other digital communication.</w:t>
            </w:r>
          </w:p>
          <w:p w14:paraId="0F6E98F1" w14:textId="5BC083BA" w:rsidR="00B54C3E" w:rsidRPr="00A003CA" w:rsidRDefault="00B54C3E" w:rsidP="000237EB">
            <w:pPr>
              <w:pStyle w:val="BoxBullet"/>
              <w:jc w:val="left"/>
              <w:rPr>
                <w:color w:val="auto"/>
              </w:rPr>
            </w:pPr>
            <w:r w:rsidRPr="00A003CA">
              <w:rPr>
                <w:color w:val="auto"/>
              </w:rPr>
              <w:t>Funding from NHS Digital when five key milestones are met</w:t>
            </w:r>
          </w:p>
          <w:p w14:paraId="20EE1697" w14:textId="77777777" w:rsidR="00B54C3E" w:rsidRPr="00A003CA" w:rsidRDefault="00B54C3E" w:rsidP="000237EB">
            <w:pPr>
              <w:pStyle w:val="BoxBullet"/>
              <w:jc w:val="left"/>
              <w:rPr>
                <w:color w:val="auto"/>
              </w:rPr>
            </w:pPr>
            <w:r w:rsidRPr="00A003CA">
              <w:rPr>
                <w:color w:val="auto"/>
              </w:rPr>
              <w:t>Information failures cause poorer quality care, delay care and discharges, and an uncoordinated journey between health and social care</w:t>
            </w:r>
          </w:p>
          <w:p w14:paraId="3D72178C" w14:textId="77777777" w:rsidR="0094434D" w:rsidRPr="00A003CA" w:rsidRDefault="0094434D" w:rsidP="000237EB">
            <w:pPr>
              <w:pStyle w:val="BoxBullet"/>
              <w:jc w:val="left"/>
              <w:rPr>
                <w:color w:val="auto"/>
              </w:rPr>
            </w:pPr>
            <w:r w:rsidRPr="00A003CA">
              <w:rPr>
                <w:color w:val="auto"/>
              </w:rPr>
              <w:t>There are common technologies and processes that can be used across the health and social care sectors</w:t>
            </w:r>
          </w:p>
          <w:p w14:paraId="4E7375E7" w14:textId="77777777" w:rsidR="005E41FE" w:rsidRPr="00A003CA" w:rsidRDefault="005E41FE" w:rsidP="000237EB">
            <w:pPr>
              <w:pStyle w:val="BoxBullet"/>
              <w:jc w:val="left"/>
              <w:rPr>
                <w:color w:val="auto"/>
              </w:rPr>
            </w:pPr>
            <w:r w:rsidRPr="00A003CA">
              <w:rPr>
                <w:color w:val="auto"/>
              </w:rPr>
              <w:t>The Covid-19 pandemic has increased the importance of electronic data-sharing due to the risk of transmitting infection via physical documents</w:t>
            </w:r>
          </w:p>
          <w:p w14:paraId="184F2347" w14:textId="6E217686" w:rsidR="00B54C3E" w:rsidRPr="00A003CA" w:rsidRDefault="00B54C3E" w:rsidP="000237EB">
            <w:pPr>
              <w:pStyle w:val="BoxBullet"/>
              <w:jc w:val="left"/>
              <w:rPr>
                <w:color w:val="auto"/>
              </w:rPr>
            </w:pPr>
            <w:r w:rsidRPr="00A003CA">
              <w:rPr>
                <w:color w:val="auto"/>
              </w:rPr>
              <w:t xml:space="preserve">CQC values effective monitoring of care home residents and effective communication e.g. sharing advanced care plans across services </w:t>
            </w:r>
          </w:p>
        </w:tc>
        <w:tc>
          <w:tcPr>
            <w:tcW w:w="4322" w:type="dxa"/>
            <w:shd w:val="clear" w:color="auto" w:fill="auto"/>
          </w:tcPr>
          <w:p w14:paraId="14CCDF41" w14:textId="77777777" w:rsidR="00B54C3E" w:rsidRPr="00A003CA" w:rsidRDefault="00B54C3E" w:rsidP="000237EB">
            <w:pPr>
              <w:pStyle w:val="BoxHeading"/>
              <w:spacing w:after="120"/>
              <w:rPr>
                <w:rFonts w:ascii="Cambria" w:eastAsiaTheme="minorHAnsi" w:hAnsi="Cambria" w:cstheme="minorBidi"/>
                <w:b w:val="0"/>
                <w:i/>
                <w:iCs/>
                <w:color w:val="auto"/>
                <w:sz w:val="22"/>
                <w:szCs w:val="22"/>
              </w:rPr>
            </w:pPr>
            <w:r w:rsidRPr="00A003CA">
              <w:rPr>
                <w:rFonts w:ascii="Cambria" w:eastAsiaTheme="minorHAnsi" w:hAnsi="Cambria" w:cstheme="minorBidi"/>
                <w:b w:val="0"/>
                <w:i/>
                <w:iCs/>
                <w:color w:val="auto"/>
                <w:sz w:val="22"/>
                <w:szCs w:val="22"/>
              </w:rPr>
              <w:t>Delivery</w:t>
            </w:r>
          </w:p>
          <w:p w14:paraId="070B261E" w14:textId="2C356F21" w:rsidR="00B54C3E" w:rsidRPr="00A003CA" w:rsidRDefault="00B54C3E" w:rsidP="000237EB">
            <w:pPr>
              <w:pStyle w:val="BoxBullet"/>
              <w:jc w:val="left"/>
              <w:rPr>
                <w:color w:val="auto"/>
              </w:rPr>
            </w:pPr>
            <w:r w:rsidRPr="00A003CA">
              <w:rPr>
                <w:color w:val="auto"/>
              </w:rPr>
              <w:t xml:space="preserve">There is sufficient interest </w:t>
            </w:r>
            <w:r w:rsidR="008C4105" w:rsidRPr="00A003CA">
              <w:rPr>
                <w:color w:val="auto"/>
              </w:rPr>
              <w:t xml:space="preserve">in </w:t>
            </w:r>
            <w:r w:rsidRPr="00A003CA">
              <w:rPr>
                <w:color w:val="auto"/>
              </w:rPr>
              <w:t xml:space="preserve">and </w:t>
            </w:r>
            <w:r w:rsidR="008C4105" w:rsidRPr="00A003CA">
              <w:rPr>
                <w:color w:val="auto"/>
              </w:rPr>
              <w:t>capacity to engage</w:t>
            </w:r>
            <w:r w:rsidRPr="00A003CA">
              <w:rPr>
                <w:color w:val="auto"/>
              </w:rPr>
              <w:t xml:space="preserve"> in the programme from care home and hospital staff</w:t>
            </w:r>
            <w:r w:rsidR="005E41FE" w:rsidRPr="00A003CA">
              <w:rPr>
                <w:color w:val="auto"/>
              </w:rPr>
              <w:t xml:space="preserve"> for the full project timeframe</w:t>
            </w:r>
          </w:p>
          <w:p w14:paraId="19BD9E40" w14:textId="77777777" w:rsidR="00B54C3E" w:rsidRPr="00A003CA" w:rsidRDefault="00B54C3E" w:rsidP="000237EB">
            <w:pPr>
              <w:pStyle w:val="BoxBullet"/>
              <w:jc w:val="left"/>
              <w:rPr>
                <w:color w:val="auto"/>
              </w:rPr>
            </w:pPr>
            <w:r w:rsidRPr="00A003CA">
              <w:rPr>
                <w:color w:val="auto"/>
              </w:rPr>
              <w:t>Residential and nursing home staff have sufficient digital skills</w:t>
            </w:r>
          </w:p>
          <w:p w14:paraId="7BBD2841" w14:textId="77777777" w:rsidR="005E41FE" w:rsidRPr="00A003CA" w:rsidRDefault="005E41FE" w:rsidP="000237EB">
            <w:pPr>
              <w:pStyle w:val="BoxBullet"/>
              <w:jc w:val="left"/>
              <w:rPr>
                <w:color w:val="auto"/>
              </w:rPr>
            </w:pPr>
            <w:r w:rsidRPr="00A003CA">
              <w:rPr>
                <w:color w:val="auto"/>
              </w:rPr>
              <w:t>It is possible to schedule enough time with care homes for DSPT support</w:t>
            </w:r>
          </w:p>
          <w:p w14:paraId="38BE2466" w14:textId="77777777" w:rsidR="00B54C3E" w:rsidRPr="00A003CA" w:rsidRDefault="00B54C3E" w:rsidP="000237EB">
            <w:pPr>
              <w:pStyle w:val="BoxBullet"/>
              <w:jc w:val="left"/>
              <w:rPr>
                <w:color w:val="auto"/>
              </w:rPr>
            </w:pPr>
            <w:r w:rsidRPr="00A003CA">
              <w:rPr>
                <w:color w:val="auto"/>
              </w:rPr>
              <w:t>Both digitally mature and immature care homes are able to implement the eRedBag pathway</w:t>
            </w:r>
          </w:p>
          <w:p w14:paraId="1A90A4EB" w14:textId="77777777" w:rsidR="0094434D" w:rsidRPr="00A003CA" w:rsidRDefault="0094434D" w:rsidP="000237EB">
            <w:pPr>
              <w:pStyle w:val="BoxBullet"/>
              <w:jc w:val="left"/>
              <w:rPr>
                <w:color w:val="auto"/>
              </w:rPr>
            </w:pPr>
            <w:r w:rsidRPr="00A003CA">
              <w:rPr>
                <w:color w:val="auto"/>
              </w:rPr>
              <w:t>Care software providers are able to reach the correct IG level in a timely way</w:t>
            </w:r>
          </w:p>
          <w:p w14:paraId="74CA7336" w14:textId="77777777" w:rsidR="00B54C3E" w:rsidRPr="00A003CA" w:rsidRDefault="00B54C3E" w:rsidP="000237EB">
            <w:pPr>
              <w:pStyle w:val="BoxBullet"/>
              <w:jc w:val="left"/>
              <w:rPr>
                <w:color w:val="auto"/>
              </w:rPr>
            </w:pPr>
            <w:r w:rsidRPr="00A003CA">
              <w:rPr>
                <w:color w:val="auto"/>
              </w:rPr>
              <w:t xml:space="preserve">There is continued support and involvement from Steering Group members and partners </w:t>
            </w:r>
          </w:p>
          <w:p w14:paraId="2E31F319" w14:textId="753E39D2" w:rsidR="0094434D" w:rsidRPr="00A003CA" w:rsidRDefault="0094434D" w:rsidP="000237EB">
            <w:pPr>
              <w:pStyle w:val="BoxBullet"/>
              <w:jc w:val="left"/>
              <w:rPr>
                <w:color w:val="auto"/>
              </w:rPr>
            </w:pPr>
            <w:r w:rsidRPr="00A003CA">
              <w:rPr>
                <w:color w:val="auto"/>
              </w:rPr>
              <w:t>Coronavirus does not unduly impede different aspects of the project</w:t>
            </w:r>
          </w:p>
        </w:tc>
        <w:tc>
          <w:tcPr>
            <w:tcW w:w="0" w:type="auto"/>
            <w:shd w:val="clear" w:color="auto" w:fill="auto"/>
          </w:tcPr>
          <w:p w14:paraId="5DA5708C" w14:textId="77777777" w:rsidR="00B54C3E" w:rsidRPr="00A003CA" w:rsidRDefault="00B54C3E" w:rsidP="000237EB">
            <w:pPr>
              <w:pStyle w:val="BoxHeading"/>
              <w:rPr>
                <w:rFonts w:ascii="Cambria" w:eastAsiaTheme="minorHAnsi" w:hAnsi="Cambria" w:cstheme="minorBidi"/>
                <w:b w:val="0"/>
                <w:i/>
                <w:iCs/>
                <w:color w:val="auto"/>
                <w:sz w:val="22"/>
                <w:szCs w:val="22"/>
              </w:rPr>
            </w:pPr>
            <w:r w:rsidRPr="00A003CA">
              <w:rPr>
                <w:rFonts w:ascii="Cambria" w:eastAsiaTheme="minorHAnsi" w:hAnsi="Cambria" w:cstheme="minorBidi"/>
                <w:b w:val="0"/>
                <w:i/>
                <w:iCs/>
                <w:color w:val="auto"/>
                <w:sz w:val="22"/>
                <w:szCs w:val="22"/>
              </w:rPr>
              <w:t>Benefits</w:t>
            </w:r>
          </w:p>
          <w:p w14:paraId="2EDB8380" w14:textId="0FCC624E" w:rsidR="00B54C3E" w:rsidRPr="00A003CA" w:rsidRDefault="00B54C3E" w:rsidP="000237EB">
            <w:pPr>
              <w:pStyle w:val="BoxBullet"/>
              <w:jc w:val="left"/>
              <w:rPr>
                <w:color w:val="auto"/>
              </w:rPr>
            </w:pPr>
            <w:r w:rsidRPr="00A003CA">
              <w:rPr>
                <w:color w:val="auto"/>
              </w:rPr>
              <w:t xml:space="preserve">Use of </w:t>
            </w:r>
            <w:r w:rsidR="00F83653" w:rsidRPr="00A003CA">
              <w:rPr>
                <w:color w:val="auto"/>
              </w:rPr>
              <w:t xml:space="preserve">the </w:t>
            </w:r>
            <w:r w:rsidRPr="00A003CA">
              <w:rPr>
                <w:color w:val="auto"/>
              </w:rPr>
              <w:t>eRedBag results in higher quality care and patient experience</w:t>
            </w:r>
          </w:p>
          <w:p w14:paraId="36509AC5" w14:textId="77777777" w:rsidR="00B54C3E" w:rsidRPr="00A003CA" w:rsidRDefault="00B54C3E" w:rsidP="000237EB">
            <w:pPr>
              <w:pStyle w:val="BoxBullet"/>
              <w:jc w:val="left"/>
              <w:rPr>
                <w:color w:val="auto"/>
              </w:rPr>
            </w:pPr>
            <w:r w:rsidRPr="00A003CA">
              <w:rPr>
                <w:color w:val="auto"/>
              </w:rPr>
              <w:t>The amount of funding is sufficient to make a difference to intended outcomes/impacts</w:t>
            </w:r>
          </w:p>
          <w:p w14:paraId="4D4E462A" w14:textId="77777777" w:rsidR="00B54C3E" w:rsidRPr="00A003CA" w:rsidRDefault="00B54C3E" w:rsidP="000237EB">
            <w:pPr>
              <w:pStyle w:val="BoxBullet"/>
              <w:jc w:val="left"/>
              <w:rPr>
                <w:color w:val="auto"/>
              </w:rPr>
            </w:pPr>
            <w:r w:rsidRPr="00A003CA">
              <w:rPr>
                <w:color w:val="auto"/>
              </w:rPr>
              <w:t>Programme timescales are sufficient to realise outcomes and impacts</w:t>
            </w:r>
          </w:p>
          <w:p w14:paraId="1D686D74" w14:textId="51B13F11" w:rsidR="00B54C3E" w:rsidRPr="00A003CA" w:rsidRDefault="00B54C3E" w:rsidP="000237EB">
            <w:pPr>
              <w:pStyle w:val="BoxBullet"/>
              <w:jc w:val="left"/>
              <w:rPr>
                <w:color w:val="auto"/>
              </w:rPr>
            </w:pPr>
            <w:r w:rsidRPr="00A003CA">
              <w:rPr>
                <w:color w:val="auto"/>
              </w:rPr>
              <w:t>Without the eRedBag, care homes may not have achieved the benefits brought by the eRedBag at all or to the same scale or as quickly</w:t>
            </w:r>
          </w:p>
        </w:tc>
      </w:tr>
    </w:tbl>
    <w:p w14:paraId="59832DE9" w14:textId="08F6C46F" w:rsidR="009F1C05" w:rsidRPr="009F1C05" w:rsidRDefault="009F1C05" w:rsidP="009F1C05">
      <w:pPr>
        <w:pStyle w:val="wpBodyText"/>
      </w:pPr>
    </w:p>
    <w:sectPr w:rsidR="009F1C05" w:rsidRPr="009F1C05" w:rsidSect="006518D8">
      <w:headerReference w:type="even" r:id="rId12"/>
      <w:headerReference w:type="default" r:id="rId13"/>
      <w:footerReference w:type="even" r:id="rId14"/>
      <w:footerReference w:type="default" r:id="rId15"/>
      <w:headerReference w:type="first" r:id="rId16"/>
      <w:footerReference w:type="first" r:id="rId17"/>
      <w:pgSz w:w="16840" w:h="11907" w:orient="landscape" w:code="9"/>
      <w:pgMar w:top="720" w:right="720" w:bottom="720" w:left="720" w:header="39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F0A83" w14:textId="77777777" w:rsidR="00C42189" w:rsidRDefault="00C42189" w:rsidP="00FE141F">
      <w:r>
        <w:separator/>
      </w:r>
    </w:p>
    <w:p w14:paraId="74D33A33" w14:textId="77777777" w:rsidR="00C42189" w:rsidRDefault="00C42189"/>
  </w:endnote>
  <w:endnote w:type="continuationSeparator" w:id="0">
    <w:p w14:paraId="71049433" w14:textId="77777777" w:rsidR="00C42189" w:rsidRDefault="00C42189" w:rsidP="00FE141F">
      <w:r>
        <w:continuationSeparator/>
      </w:r>
    </w:p>
    <w:p w14:paraId="57B6565F" w14:textId="77777777" w:rsidR="00C42189" w:rsidRDefault="00C42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D4C3A" w14:textId="77777777" w:rsidR="005441AC" w:rsidRDefault="00544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07973" w14:textId="0F705E1E" w:rsidR="00B50C5E" w:rsidRPr="00A47C06" w:rsidRDefault="00A47C06" w:rsidP="00A47C06">
    <w:pPr>
      <w:pStyle w:val="Footer"/>
    </w:pPr>
    <w:r>
      <w:rPr>
        <w:noProof/>
        <w:lang w:eastAsia="en-GB"/>
      </w:rPr>
      <w:drawing>
        <wp:anchor distT="0" distB="0" distL="114300" distR="114300" simplePos="0" relativeHeight="251656704" behindDoc="1" locked="0" layoutInCell="1" allowOverlap="1" wp14:anchorId="2181E19C" wp14:editId="37264228">
          <wp:simplePos x="0" y="0"/>
          <wp:positionH relativeFrom="page">
            <wp:posOffset>467995</wp:posOffset>
          </wp:positionH>
          <wp:positionV relativeFrom="page">
            <wp:posOffset>6875780</wp:posOffset>
          </wp:positionV>
          <wp:extent cx="756360" cy="224640"/>
          <wp:effectExtent l="0" t="0" r="5715" b="4445"/>
          <wp:wrapNone/>
          <wp:docPr id="5" name="Picture 5" descr="SQ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Q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 cy="224640"/>
                  </a:xfrm>
                  <a:prstGeom prst="rect">
                    <a:avLst/>
                  </a:prstGeom>
                  <a:noFill/>
                </pic:spPr>
              </pic:pic>
            </a:graphicData>
          </a:graphic>
          <wp14:sizeRelH relativeFrom="margin">
            <wp14:pctWidth>0</wp14:pctWidth>
          </wp14:sizeRelH>
          <wp14:sizeRelV relativeFrom="margin">
            <wp14:pctHeight>0</wp14:pctHeight>
          </wp14:sizeRelV>
        </wp:anchor>
      </w:drawing>
    </w:r>
    <w:sdt>
      <w:sdtPr>
        <w:alias w:val="Title"/>
        <w:tag w:val="title"/>
        <w:id w:val="-1496340174"/>
        <w:dataBinding w:xpath="/root[1]/title[1]" w:storeItemID="{8BB247F2-FFC0-4D80-B7B8-298498AD0A69}"/>
        <w:text w:multiLine="1"/>
      </w:sdtPr>
      <w:sdtEndPr/>
      <w:sdtContent>
        <w:r w:rsidR="00FC15E2">
          <w:t xml:space="preserve"> NHS SWL CCG Evaluation of the eRedBag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AC5FB" w14:textId="77777777" w:rsidR="005441AC" w:rsidRDefault="00544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EE5CA" w14:textId="77777777" w:rsidR="00C42189" w:rsidRDefault="00C42189" w:rsidP="00FE141F">
      <w:r>
        <w:separator/>
      </w:r>
    </w:p>
    <w:p w14:paraId="1BB241EA" w14:textId="77777777" w:rsidR="00C42189" w:rsidRDefault="00C42189"/>
  </w:footnote>
  <w:footnote w:type="continuationSeparator" w:id="0">
    <w:p w14:paraId="6B0D9D82" w14:textId="77777777" w:rsidR="00C42189" w:rsidRDefault="00C42189" w:rsidP="00FE141F">
      <w:r>
        <w:continuationSeparator/>
      </w:r>
    </w:p>
    <w:p w14:paraId="04607DFD" w14:textId="77777777" w:rsidR="00C42189" w:rsidRDefault="00C421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50CFC" w14:textId="77777777" w:rsidR="005441AC" w:rsidRDefault="00544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8285" w14:textId="619DCBED" w:rsidR="00A47C06" w:rsidRDefault="00A47C06">
    <w:pPr>
      <w:pStyle w:val="Header"/>
    </w:pPr>
    <w:r>
      <w:fldChar w:fldCharType="begin"/>
    </w:r>
    <w:r>
      <w:instrText xml:space="preserve"> page </w:instrText>
    </w:r>
    <w:r>
      <w:fldChar w:fldCharType="separate"/>
    </w:r>
    <w:r w:rsidR="00037F0C">
      <w:rPr>
        <w:noProof/>
      </w:rPr>
      <w:t>4</w:t>
    </w:r>
    <w:r>
      <w:fldChar w:fldCharType="end"/>
    </w:r>
    <w:r>
      <w:rPr>
        <w:noProof/>
        <w:lang w:eastAsia="en-GB"/>
      </w:rPr>
      <mc:AlternateContent>
        <mc:Choice Requires="wps">
          <w:drawing>
            <wp:anchor distT="0" distB="0" distL="114300" distR="114300" simplePos="0" relativeHeight="251657728" behindDoc="1" locked="0" layoutInCell="1" allowOverlap="0" wp14:anchorId="0BDAF6AA" wp14:editId="29886B5B">
              <wp:simplePos x="0" y="0"/>
              <wp:positionH relativeFrom="page">
                <wp:posOffset>9273540</wp:posOffset>
              </wp:positionH>
              <wp:positionV relativeFrom="page">
                <wp:posOffset>252095</wp:posOffset>
              </wp:positionV>
              <wp:extent cx="866880" cy="0"/>
              <wp:effectExtent l="0" t="304800" r="0" b="3238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2580000" flipV="1">
                        <a:off x="0" y="0"/>
                        <a:ext cx="866880" cy="0"/>
                      </a:xfrm>
                      <a:prstGeom prst="line">
                        <a:avLst/>
                      </a:prstGeom>
                      <a:ln w="12700">
                        <a:solidFill>
                          <a:srgbClr val="B3B3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7F924" id="Straight Connector 3" o:spid="_x0000_s1026" alt="&quot;&quot;" style="position:absolute;rotation:-43;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30.2pt,19.85pt" to="798.45pt,1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" o:allowoverlap="f" strokecolor="#b3b3b3" strokeweight="1pt">
              <w10:wrap anchorx="page" anchory="page"/>
            </v:line>
          </w:pict>
        </mc:Fallback>
      </mc:AlternateContent>
    </w:r>
  </w:p>
  <w:p w14:paraId="199EE17D" w14:textId="77777777" w:rsidR="00EA6BAB" w:rsidRDefault="00EA6B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827FE" w14:textId="77777777" w:rsidR="005441AC" w:rsidRDefault="00544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D0736"/>
    <w:multiLevelType w:val="multilevel"/>
    <w:tmpl w:val="AE1E64FE"/>
    <w:lvl w:ilvl="0">
      <w:start w:val="1"/>
      <w:numFmt w:val="bullet"/>
      <w:lvlText w:val=""/>
      <w:lvlJc w:val="left"/>
      <w:pPr>
        <w:tabs>
          <w:tab w:val="num" w:pos="357"/>
        </w:tabs>
        <w:ind w:left="360" w:hanging="360"/>
      </w:pPr>
      <w:rPr>
        <w:rFonts w:ascii="Symbol" w:hAnsi="Symbol" w:hint="default"/>
        <w:color w:val="FFFFFF"/>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01165D"/>
    <w:multiLevelType w:val="multilevel"/>
    <w:tmpl w:val="8C02D344"/>
    <w:styleLink w:val="EODBullets"/>
    <w:lvl w:ilvl="0">
      <w:start w:val="1"/>
      <w:numFmt w:val="bullet"/>
      <w:lvlText w:val=""/>
      <w:lvlJc w:val="left"/>
      <w:pPr>
        <w:tabs>
          <w:tab w:val="num" w:pos="357"/>
        </w:tabs>
        <w:ind w:left="360" w:hanging="360"/>
      </w:pPr>
      <w:rPr>
        <w:rFonts w:ascii="Symbol" w:hAnsi="Symbol" w:hint="default"/>
        <w:color w:val="FFFFFF" w:themeColor="text2" w:themeTint="99"/>
      </w:rPr>
    </w:lvl>
    <w:lvl w:ilvl="1">
      <w:start w:val="1"/>
      <w:numFmt w:val="bullet"/>
      <w:lvlText w:val=""/>
      <w:lvlJc w:val="left"/>
      <w:pPr>
        <w:tabs>
          <w:tab w:val="num" w:pos="720"/>
        </w:tabs>
        <w:ind w:left="720" w:hanging="360"/>
      </w:pPr>
      <w:rPr>
        <w:rFonts w:ascii="Symbol" w:hAnsi="Symbol" w:hint="default"/>
        <w:color w:val="FFFFFF" w:themeColor="text2" w:themeTint="99"/>
      </w:rPr>
    </w:lvl>
    <w:lvl w:ilvl="2">
      <w:start w:val="1"/>
      <w:numFmt w:val="bullet"/>
      <w:lvlText w:val="○"/>
      <w:lvlJc w:val="left"/>
      <w:pPr>
        <w:tabs>
          <w:tab w:val="num" w:pos="1077"/>
        </w:tabs>
        <w:ind w:left="1080" w:hanging="360"/>
      </w:pPr>
      <w:rPr>
        <w:rFonts w:ascii="Calibri" w:hAnsi="Calibri" w:hint="default"/>
        <w:color w:val="FFFFFF" w:themeColor="text2" w:themeTint="9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016105"/>
    <w:multiLevelType w:val="multilevel"/>
    <w:tmpl w:val="043A9EF2"/>
    <w:styleLink w:val="SQWMain"/>
    <w:lvl w:ilvl="0">
      <w:start w:val="1"/>
      <w:numFmt w:val="decimal"/>
      <w:suff w:val="space"/>
      <w:lvlText w:val="%1."/>
      <w:lvlJc w:val="left"/>
      <w:pPr>
        <w:ind w:left="0" w:firstLine="0"/>
      </w:pPr>
      <w:rPr>
        <w:rFonts w:hint="default"/>
      </w:rPr>
    </w:lvl>
    <w:lvl w:ilvl="1">
      <w:start w:val="1"/>
      <w:numFmt w:val="decimal"/>
      <w:lvlText w:val="%1.%2"/>
      <w:lvlJc w:val="left"/>
      <w:pPr>
        <w:tabs>
          <w:tab w:val="num" w:pos="0"/>
        </w:tabs>
        <w:ind w:left="0" w:hanging="510"/>
      </w:pPr>
      <w:rPr>
        <w:rFonts w:ascii="Century Gothic" w:hAnsi="Century Gothic" w:hint="default"/>
        <w:b/>
        <w:i w:val="0"/>
        <w:color w:val="DA291C"/>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430260"/>
    <w:multiLevelType w:val="multilevel"/>
    <w:tmpl w:val="B1627B9C"/>
    <w:lvl w:ilvl="0">
      <w:start w:val="1"/>
      <w:numFmt w:val="bullet"/>
      <w:lvlText w:val=""/>
      <w:lvlJc w:val="left"/>
      <w:pPr>
        <w:tabs>
          <w:tab w:val="num" w:pos="357"/>
        </w:tabs>
        <w:ind w:left="360" w:hanging="360"/>
      </w:pPr>
      <w:rPr>
        <w:rFonts w:ascii="Symbol" w:hAnsi="Symbol" w:hint="default"/>
        <w:color w:val="FFFFFF"/>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3E3076A"/>
    <w:multiLevelType w:val="multilevel"/>
    <w:tmpl w:val="30ACC450"/>
    <w:lvl w:ilvl="0">
      <w:start w:val="1"/>
      <w:numFmt w:val="bullet"/>
      <w:lvlText w:val=""/>
      <w:lvlJc w:val="left"/>
      <w:pPr>
        <w:tabs>
          <w:tab w:val="num" w:pos="357"/>
        </w:tabs>
        <w:ind w:left="360" w:hanging="360"/>
      </w:pPr>
      <w:rPr>
        <w:rFonts w:ascii="Symbol" w:hAnsi="Symbol" w:hint="default"/>
        <w:color w:val="FFFFFF"/>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A677F1"/>
    <w:multiLevelType w:val="multilevel"/>
    <w:tmpl w:val="6A7A5F6C"/>
    <w:styleLink w:val="SQWBullets"/>
    <w:lvl w:ilvl="0">
      <w:start w:val="1"/>
      <w:numFmt w:val="bullet"/>
      <w:pStyle w:val="wpListBullet"/>
      <w:lvlText w:val=""/>
      <w:lvlJc w:val="left"/>
      <w:pPr>
        <w:tabs>
          <w:tab w:val="num" w:pos="357"/>
        </w:tabs>
        <w:ind w:left="360" w:hanging="360"/>
      </w:pPr>
      <w:rPr>
        <w:rFonts w:ascii="Symbol" w:hAnsi="Symbol" w:hint="default"/>
        <w:color w:val="DA291C"/>
      </w:rPr>
    </w:lvl>
    <w:lvl w:ilvl="1">
      <w:start w:val="1"/>
      <w:numFmt w:val="bullet"/>
      <w:pStyle w:val="wpListBullet2"/>
      <w:lvlText w:val=""/>
      <w:lvlJc w:val="left"/>
      <w:pPr>
        <w:tabs>
          <w:tab w:val="num" w:pos="720"/>
        </w:tabs>
        <w:ind w:left="720" w:hanging="360"/>
      </w:pPr>
      <w:rPr>
        <w:rFonts w:ascii="Wingdings" w:hAnsi="Wingdings" w:hint="default"/>
        <w:color w:val="DA291C"/>
        <w:sz w:val="16"/>
      </w:rPr>
    </w:lvl>
    <w:lvl w:ilvl="2">
      <w:start w:val="1"/>
      <w:numFmt w:val="bullet"/>
      <w:lvlText w:val=""/>
      <w:lvlJc w:val="left"/>
      <w:pPr>
        <w:tabs>
          <w:tab w:val="num" w:pos="1077"/>
        </w:tabs>
        <w:ind w:left="1080" w:hanging="360"/>
      </w:pPr>
      <w:rPr>
        <w:rFonts w:ascii="Symbol" w:hAnsi="Symbol" w:hint="default"/>
        <w:color w:val="DA291C"/>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C63762"/>
    <w:multiLevelType w:val="multilevel"/>
    <w:tmpl w:val="932C7B3C"/>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6FC12B8"/>
    <w:multiLevelType w:val="multilevel"/>
    <w:tmpl w:val="04FA6632"/>
    <w:styleLink w:val="SQWAnnexHeadings"/>
    <w:lvl w:ilvl="0">
      <w:start w:val="1"/>
      <w:numFmt w:val="upperLetter"/>
      <w:lvlText w:val="Anne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Restart w:val="0"/>
      <w:pStyle w:val="Heading5"/>
      <w:suff w:val="space"/>
      <w:lvlText w:val="Annex %5:"/>
      <w:lvlJc w:val="left"/>
      <w:pPr>
        <w:ind w:left="0" w:firstLine="0"/>
      </w:pPr>
      <w:rPr>
        <w:rFonts w:hint="default"/>
      </w:rPr>
    </w:lvl>
    <w:lvl w:ilvl="5">
      <w:start w:val="1"/>
      <w:numFmt w:val="decimal"/>
      <w:lvlText w:val="%1.%6"/>
      <w:lvlJc w:val="left"/>
      <w:pPr>
        <w:tabs>
          <w:tab w:val="num" w:pos="0"/>
        </w:tabs>
        <w:ind w:left="0" w:hanging="510"/>
      </w:pPr>
      <w:rPr>
        <w:rFonts w:ascii="Century Gothic" w:hAnsi="Century Gothic" w:hint="default"/>
        <w:b/>
        <w:i w:val="0"/>
        <w:color w:val="DA291C"/>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D4B19A4"/>
    <w:multiLevelType w:val="multilevel"/>
    <w:tmpl w:val="105020F8"/>
    <w:styleLink w:val="SQWBoxBullets"/>
    <w:lvl w:ilvl="0">
      <w:start w:val="1"/>
      <w:numFmt w:val="bullet"/>
      <w:pStyle w:val="BoxBullet"/>
      <w:lvlText w:val=""/>
      <w:lvlJc w:val="left"/>
      <w:pPr>
        <w:tabs>
          <w:tab w:val="num" w:pos="357"/>
        </w:tabs>
        <w:ind w:left="360" w:hanging="360"/>
      </w:pPr>
      <w:rPr>
        <w:rFonts w:ascii="Symbol" w:hAnsi="Symbol" w:hint="default"/>
        <w:color w:val="FFFFF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69D265F"/>
    <w:multiLevelType w:val="multilevel"/>
    <w:tmpl w:val="F4DA0824"/>
    <w:styleLink w:val="SQWPlainNumbering"/>
    <w:lvl w:ilvl="0">
      <w:start w:val="1"/>
      <w:numFmt w:val="decimal"/>
      <w:lvlText w:val="%1."/>
      <w:lvlJc w:val="left"/>
      <w:pPr>
        <w:tabs>
          <w:tab w:val="num" w:pos="0"/>
        </w:tabs>
        <w:ind w:left="0" w:hanging="510"/>
      </w:pPr>
      <w:rPr>
        <w:rFonts w:ascii="Century Gothic" w:hAnsi="Century Gothic" w:hint="default"/>
        <w:b/>
        <w:i w:val="0"/>
        <w:color w:val="DA291C"/>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C94919"/>
    <w:multiLevelType w:val="multilevel"/>
    <w:tmpl w:val="E51A9B60"/>
    <w:styleLink w:val="SQWTableBullets"/>
    <w:lvl w:ilvl="0">
      <w:start w:val="1"/>
      <w:numFmt w:val="bullet"/>
      <w:pStyle w:val="wpTableBullet"/>
      <w:lvlText w:val=""/>
      <w:lvlJc w:val="left"/>
      <w:pPr>
        <w:tabs>
          <w:tab w:val="num" w:pos="357"/>
        </w:tabs>
        <w:ind w:left="360" w:hanging="360"/>
      </w:pPr>
      <w:rPr>
        <w:rFonts w:ascii="Symbol" w:hAnsi="Symbol" w:hint="default"/>
        <w:color w:val="DA291C"/>
      </w:rPr>
    </w:lvl>
    <w:lvl w:ilvl="1">
      <w:start w:val="1"/>
      <w:numFmt w:val="bullet"/>
      <w:pStyle w:val="wpTableBullet2"/>
      <w:lvlText w:val=""/>
      <w:lvlJc w:val="left"/>
      <w:pPr>
        <w:tabs>
          <w:tab w:val="num" w:pos="720"/>
        </w:tabs>
        <w:ind w:left="720" w:hanging="360"/>
      </w:pPr>
      <w:rPr>
        <w:rFonts w:ascii="Wingdings" w:hAnsi="Wingdings" w:hint="default"/>
        <w:color w:val="DA291C"/>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5D559E"/>
    <w:multiLevelType w:val="multilevel"/>
    <w:tmpl w:val="DEBA3F2C"/>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76232A"/>
    <w:multiLevelType w:val="multilevel"/>
    <w:tmpl w:val="AFCCC640"/>
    <w:styleLink w:val="SQWListNumbers"/>
    <w:lvl w:ilvl="0">
      <w:start w:val="1"/>
      <w:numFmt w:val="decimal"/>
      <w:pStyle w:val="wpListNumber"/>
      <w:lvlText w:val="%1."/>
      <w:lvlJc w:val="left"/>
      <w:pPr>
        <w:tabs>
          <w:tab w:val="num" w:pos="357"/>
        </w:tabs>
        <w:ind w:left="360" w:hanging="360"/>
      </w:pPr>
      <w:rPr>
        <w:rFonts w:hint="default"/>
        <w:color w:val="auto"/>
      </w:rPr>
    </w:lvl>
    <w:lvl w:ilvl="1">
      <w:start w:val="1"/>
      <w:numFmt w:val="decimal"/>
      <w:pStyle w:val="wpListNumber2"/>
      <w:lvlText w:val="%1.%2."/>
      <w:lvlJc w:val="left"/>
      <w:pPr>
        <w:tabs>
          <w:tab w:val="num" w:pos="851"/>
        </w:tabs>
        <w:ind w:left="851" w:hanging="491"/>
      </w:pPr>
      <w:rPr>
        <w:rFonts w:hint="default"/>
        <w:color w:val="auto"/>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D74D88"/>
    <w:multiLevelType w:val="multilevel"/>
    <w:tmpl w:val="269EEF6E"/>
    <w:styleLink w:val="EODListNumbers"/>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6"/>
  </w:num>
  <w:num w:numId="3">
    <w:abstractNumId w:val="1"/>
  </w:num>
  <w:num w:numId="4">
    <w:abstractNumId w:val="13"/>
  </w:num>
  <w:num w:numId="5">
    <w:abstractNumId w:val="2"/>
  </w:num>
  <w:num w:numId="6">
    <w:abstractNumId w:val="9"/>
  </w:num>
  <w:num w:numId="7">
    <w:abstractNumId w:val="7"/>
  </w:num>
  <w:num w:numId="8">
    <w:abstractNumId w:val="8"/>
  </w:num>
  <w:num w:numId="9">
    <w:abstractNumId w:val="5"/>
  </w:num>
  <w:num w:numId="10">
    <w:abstractNumId w:val="12"/>
  </w:num>
  <w:num w:numId="11">
    <w:abstractNumId w:val="7"/>
  </w:num>
  <w:num w:numId="12">
    <w:abstractNumId w:val="10"/>
  </w:num>
  <w:num w:numId="13">
    <w:abstractNumId w:val="8"/>
  </w:num>
  <w:num w:numId="14">
    <w:abstractNumId w:val="0"/>
  </w:num>
  <w:num w:numId="15">
    <w:abstractNumId w:val="4"/>
  </w:num>
  <w:num w:numId="16">
    <w:abstractNumId w:val="8"/>
  </w:num>
  <w:num w:numId="17">
    <w:abstractNumId w:val="8"/>
  </w:num>
  <w:num w:numId="18">
    <w:abstractNumId w:val="8"/>
  </w:num>
  <w:num w:numId="19">
    <w:abstractNumId w:val="3"/>
  </w:num>
  <w:num w:numId="20">
    <w:abstractNumId w:val="8"/>
  </w:num>
  <w:num w:numId="21">
    <w:abstractNumId w:val="8"/>
  </w:num>
  <w:num w:numId="22">
    <w:abstractNumId w:val="8"/>
  </w:num>
  <w:num w:numId="2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87"/>
    <w:rsid w:val="00006645"/>
    <w:rsid w:val="00017540"/>
    <w:rsid w:val="000237EB"/>
    <w:rsid w:val="00037F0C"/>
    <w:rsid w:val="00071D02"/>
    <w:rsid w:val="00077D80"/>
    <w:rsid w:val="000A2E5A"/>
    <w:rsid w:val="000D1D6B"/>
    <w:rsid w:val="00137527"/>
    <w:rsid w:val="0019465F"/>
    <w:rsid w:val="001E03C5"/>
    <w:rsid w:val="001F5029"/>
    <w:rsid w:val="001F7358"/>
    <w:rsid w:val="00212C4D"/>
    <w:rsid w:val="002161C8"/>
    <w:rsid w:val="002177F7"/>
    <w:rsid w:val="00222DBE"/>
    <w:rsid w:val="00260338"/>
    <w:rsid w:val="002604C6"/>
    <w:rsid w:val="002667CB"/>
    <w:rsid w:val="00276B94"/>
    <w:rsid w:val="00281A52"/>
    <w:rsid w:val="00285011"/>
    <w:rsid w:val="00292681"/>
    <w:rsid w:val="002C5344"/>
    <w:rsid w:val="002D60A1"/>
    <w:rsid w:val="00301063"/>
    <w:rsid w:val="00313481"/>
    <w:rsid w:val="003162C8"/>
    <w:rsid w:val="003A1722"/>
    <w:rsid w:val="003A4706"/>
    <w:rsid w:val="003A4EA6"/>
    <w:rsid w:val="003E13FB"/>
    <w:rsid w:val="003E5C41"/>
    <w:rsid w:val="00412A94"/>
    <w:rsid w:val="00434787"/>
    <w:rsid w:val="004469A0"/>
    <w:rsid w:val="00480A3C"/>
    <w:rsid w:val="004C4294"/>
    <w:rsid w:val="004D543B"/>
    <w:rsid w:val="005441AC"/>
    <w:rsid w:val="00554409"/>
    <w:rsid w:val="0055653C"/>
    <w:rsid w:val="005B5F44"/>
    <w:rsid w:val="005E41FE"/>
    <w:rsid w:val="005F2A2F"/>
    <w:rsid w:val="00615301"/>
    <w:rsid w:val="006212A2"/>
    <w:rsid w:val="006267AB"/>
    <w:rsid w:val="00631295"/>
    <w:rsid w:val="006518D8"/>
    <w:rsid w:val="00662B6A"/>
    <w:rsid w:val="006717AC"/>
    <w:rsid w:val="006748D9"/>
    <w:rsid w:val="006A3E3A"/>
    <w:rsid w:val="00700266"/>
    <w:rsid w:val="00711B18"/>
    <w:rsid w:val="00714B5C"/>
    <w:rsid w:val="0073457D"/>
    <w:rsid w:val="00736965"/>
    <w:rsid w:val="00772BAE"/>
    <w:rsid w:val="0077445E"/>
    <w:rsid w:val="00791A57"/>
    <w:rsid w:val="007A2A78"/>
    <w:rsid w:val="007A78CB"/>
    <w:rsid w:val="00803B73"/>
    <w:rsid w:val="00831F76"/>
    <w:rsid w:val="00853A6C"/>
    <w:rsid w:val="00877BBC"/>
    <w:rsid w:val="00884177"/>
    <w:rsid w:val="008A7BCB"/>
    <w:rsid w:val="008C4105"/>
    <w:rsid w:val="008F22A5"/>
    <w:rsid w:val="00911D9C"/>
    <w:rsid w:val="0094434D"/>
    <w:rsid w:val="009A3EA3"/>
    <w:rsid w:val="009C5891"/>
    <w:rsid w:val="009C59AD"/>
    <w:rsid w:val="009F1AFC"/>
    <w:rsid w:val="009F1C05"/>
    <w:rsid w:val="00A003CA"/>
    <w:rsid w:val="00A21D37"/>
    <w:rsid w:val="00A222F2"/>
    <w:rsid w:val="00A33657"/>
    <w:rsid w:val="00A345D3"/>
    <w:rsid w:val="00A35FF9"/>
    <w:rsid w:val="00A44101"/>
    <w:rsid w:val="00A46CFB"/>
    <w:rsid w:val="00A47C06"/>
    <w:rsid w:val="00A817E9"/>
    <w:rsid w:val="00A9432B"/>
    <w:rsid w:val="00AD0AEE"/>
    <w:rsid w:val="00AE0ED3"/>
    <w:rsid w:val="00B1466D"/>
    <w:rsid w:val="00B35E79"/>
    <w:rsid w:val="00B50C5E"/>
    <w:rsid w:val="00B54C3E"/>
    <w:rsid w:val="00BA79C5"/>
    <w:rsid w:val="00BD657E"/>
    <w:rsid w:val="00BE1A56"/>
    <w:rsid w:val="00BE6C2F"/>
    <w:rsid w:val="00C01797"/>
    <w:rsid w:val="00C0230F"/>
    <w:rsid w:val="00C16FA8"/>
    <w:rsid w:val="00C17D1B"/>
    <w:rsid w:val="00C365BF"/>
    <w:rsid w:val="00C372D2"/>
    <w:rsid w:val="00C409E8"/>
    <w:rsid w:val="00C42189"/>
    <w:rsid w:val="00C430B0"/>
    <w:rsid w:val="00C65E76"/>
    <w:rsid w:val="00CD09E7"/>
    <w:rsid w:val="00D33467"/>
    <w:rsid w:val="00D50CDA"/>
    <w:rsid w:val="00D930F3"/>
    <w:rsid w:val="00DD3CD1"/>
    <w:rsid w:val="00E2097B"/>
    <w:rsid w:val="00E2601F"/>
    <w:rsid w:val="00E57C47"/>
    <w:rsid w:val="00E66356"/>
    <w:rsid w:val="00E7695F"/>
    <w:rsid w:val="00E77851"/>
    <w:rsid w:val="00EA6BAB"/>
    <w:rsid w:val="00EB0853"/>
    <w:rsid w:val="00ED2DBE"/>
    <w:rsid w:val="00EF27B7"/>
    <w:rsid w:val="00F33A6D"/>
    <w:rsid w:val="00F4076A"/>
    <w:rsid w:val="00F56988"/>
    <w:rsid w:val="00F83653"/>
    <w:rsid w:val="00FC15E2"/>
    <w:rsid w:val="00FE141F"/>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39C12"/>
  <w15:chartTrackingRefBased/>
  <w15:docId w15:val="{4B17ED0B-5BD7-4E8A-8BC5-7E31F034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2"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0"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2" w:unhideWhenUsed="1" w:qFormat="1"/>
    <w:lsdException w:name="List Continue 2" w:semiHidden="1" w:uiPriority="12" w:unhideWhenUsed="1" w:qFormat="1"/>
    <w:lsdException w:name="List Continue 3" w:semiHidden="1" w:uiPriority="1" w:unhideWhenUsed="1"/>
    <w:lsdException w:name="List Continue 4" w:semiHidden="1" w:unhideWhenUsed="1" w:qFormat="1"/>
    <w:lsdException w:name="List Continue 5" w:semiHidden="1" w:unhideWhenUsed="1" w:qFormat="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20" w:unhideWhenUsed="1"/>
    <w:lsdException w:name="Body Text 3" w:semiHidden="1" w:uiPriority="2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6A3E3A"/>
    <w:pPr>
      <w:spacing w:line="240" w:lineRule="auto"/>
    </w:pPr>
    <w:rPr>
      <w:rFonts w:ascii="Cambria" w:hAnsi="Cambria"/>
      <w:sz w:val="22"/>
      <w:szCs w:val="22"/>
      <w:lang w:val="en-GB"/>
    </w:rPr>
  </w:style>
  <w:style w:type="paragraph" w:styleId="Heading1">
    <w:name w:val="heading 1"/>
    <w:basedOn w:val="Normal"/>
    <w:next w:val="Normal"/>
    <w:link w:val="Heading1Char"/>
    <w:uiPriority w:val="9"/>
    <w:semiHidden/>
    <w:qFormat/>
    <w:rsid w:val="005B5F44"/>
    <w:pPr>
      <w:keepNext/>
      <w:keepLines/>
      <w:spacing w:after="560" w:line="420" w:lineRule="exact"/>
      <w:outlineLvl w:val="0"/>
    </w:pPr>
    <w:rPr>
      <w:rFonts w:ascii="Century Gothic" w:eastAsiaTheme="majorEastAsia" w:hAnsi="Century Gothic" w:cstheme="majorBidi"/>
      <w:b/>
      <w:color w:val="1A1A1A"/>
      <w:sz w:val="36"/>
      <w:szCs w:val="32"/>
    </w:rPr>
  </w:style>
  <w:style w:type="paragraph" w:styleId="Heading2">
    <w:name w:val="heading 2"/>
    <w:basedOn w:val="Normal"/>
    <w:next w:val="Normal"/>
    <w:link w:val="Heading2Char"/>
    <w:uiPriority w:val="9"/>
    <w:semiHidden/>
    <w:qFormat/>
    <w:rsid w:val="00313481"/>
    <w:pPr>
      <w:keepNext/>
      <w:keepLines/>
      <w:spacing w:before="280" w:after="300" w:line="360" w:lineRule="exact"/>
      <w:outlineLvl w:val="1"/>
    </w:pPr>
    <w:rPr>
      <w:rFonts w:ascii="Century Gothic" w:eastAsiaTheme="majorEastAsia" w:hAnsi="Century Gothic" w:cstheme="majorBidi"/>
      <w:b/>
      <w:color w:val="DA291C"/>
      <w:sz w:val="30"/>
      <w:szCs w:val="26"/>
    </w:rPr>
  </w:style>
  <w:style w:type="paragraph" w:styleId="Heading3">
    <w:name w:val="heading 3"/>
    <w:basedOn w:val="Normal"/>
    <w:next w:val="Normal"/>
    <w:link w:val="Heading3Char"/>
    <w:uiPriority w:val="9"/>
    <w:semiHidden/>
    <w:qFormat/>
    <w:rsid w:val="00313481"/>
    <w:pPr>
      <w:keepNext/>
      <w:keepLines/>
      <w:spacing w:before="260" w:after="260" w:line="320" w:lineRule="atLeast"/>
      <w:outlineLvl w:val="2"/>
    </w:pPr>
    <w:rPr>
      <w:rFonts w:ascii="Century Gothic" w:eastAsiaTheme="majorEastAsia" w:hAnsi="Century Gothic" w:cstheme="majorBidi"/>
      <w:b/>
      <w:color w:val="DA291C"/>
    </w:rPr>
  </w:style>
  <w:style w:type="paragraph" w:styleId="Heading4">
    <w:name w:val="heading 4"/>
    <w:basedOn w:val="Normal"/>
    <w:next w:val="Normal"/>
    <w:link w:val="Heading4Char"/>
    <w:uiPriority w:val="9"/>
    <w:semiHidden/>
    <w:qFormat/>
    <w:rsid w:val="00313481"/>
    <w:pPr>
      <w:keepNext/>
      <w:keepLines/>
      <w:spacing w:before="260" w:after="260" w:line="320" w:lineRule="atLeast"/>
      <w:outlineLvl w:val="3"/>
    </w:pPr>
    <w:rPr>
      <w:rFonts w:ascii="Century Gothic" w:eastAsiaTheme="majorEastAsia" w:hAnsi="Century Gothic" w:cstheme="majorBidi"/>
      <w:b/>
      <w:iCs/>
      <w:color w:val="1A1A1A"/>
    </w:rPr>
  </w:style>
  <w:style w:type="paragraph" w:styleId="Heading5">
    <w:name w:val="heading 5"/>
    <w:aliases w:val="Annex Heading"/>
    <w:basedOn w:val="Heading1"/>
    <w:next w:val="Normal"/>
    <w:link w:val="Heading5Char"/>
    <w:uiPriority w:val="19"/>
    <w:semiHidden/>
    <w:qFormat/>
    <w:rsid w:val="00313481"/>
    <w:pPr>
      <w:numPr>
        <w:ilvl w:val="4"/>
        <w:numId w:val="11"/>
      </w:numPr>
      <w:outlineLvl w:val="4"/>
    </w:pPr>
  </w:style>
  <w:style w:type="paragraph" w:styleId="Heading6">
    <w:name w:val="heading 6"/>
    <w:aliases w:val="Annex Heading 2"/>
    <w:basedOn w:val="Heading2"/>
    <w:next w:val="Normal"/>
    <w:link w:val="Heading6Char"/>
    <w:uiPriority w:val="19"/>
    <w:semiHidden/>
    <w:qFormat/>
    <w:rsid w:val="00313481"/>
    <w:pPr>
      <w:outlineLvl w:val="5"/>
    </w:pPr>
  </w:style>
  <w:style w:type="paragraph" w:styleId="Heading7">
    <w:name w:val="heading 7"/>
    <w:aliases w:val="Annex Heading 3"/>
    <w:basedOn w:val="Heading3"/>
    <w:next w:val="Normal"/>
    <w:link w:val="Heading7Char"/>
    <w:uiPriority w:val="19"/>
    <w:semiHidden/>
    <w:qFormat/>
    <w:rsid w:val="00313481"/>
    <w:pPr>
      <w:spacing w:line="320" w:lineRule="exact"/>
      <w:outlineLvl w:val="6"/>
    </w:pPr>
    <w:rPr>
      <w:iCs/>
    </w:rPr>
  </w:style>
  <w:style w:type="paragraph" w:styleId="Heading8">
    <w:name w:val="heading 8"/>
    <w:aliases w:val="Annex Heading 4"/>
    <w:basedOn w:val="Heading4"/>
    <w:next w:val="Normal"/>
    <w:link w:val="Heading8Char"/>
    <w:uiPriority w:val="19"/>
    <w:semiHidden/>
    <w:qFormat/>
    <w:rsid w:val="00313481"/>
    <w:pPr>
      <w:outlineLvl w:val="7"/>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ListNumber">
    <w:name w:val="wp List Number"/>
    <w:basedOn w:val="Normal"/>
    <w:uiPriority w:val="9"/>
    <w:qFormat/>
    <w:rsid w:val="006A3E3A"/>
    <w:pPr>
      <w:numPr>
        <w:numId w:val="10"/>
      </w:numPr>
      <w:spacing w:after="260" w:line="320" w:lineRule="atLeast"/>
      <w:jc w:val="both"/>
    </w:pPr>
  </w:style>
  <w:style w:type="paragraph" w:customStyle="1" w:styleId="wpListNumber2">
    <w:name w:val="wp List Number 2"/>
    <w:basedOn w:val="Normal"/>
    <w:uiPriority w:val="9"/>
    <w:qFormat/>
    <w:rsid w:val="006A3E3A"/>
    <w:pPr>
      <w:numPr>
        <w:ilvl w:val="1"/>
        <w:numId w:val="10"/>
      </w:numPr>
      <w:spacing w:after="260" w:line="320" w:lineRule="atLeast"/>
      <w:jc w:val="both"/>
    </w:pPr>
  </w:style>
  <w:style w:type="numbering" w:customStyle="1" w:styleId="BulletList">
    <w:name w:val="Bullet List"/>
    <w:basedOn w:val="NoList"/>
    <w:uiPriority w:val="99"/>
    <w:rsid w:val="00313481"/>
    <w:pPr>
      <w:numPr>
        <w:numId w:val="1"/>
      </w:numPr>
    </w:pPr>
  </w:style>
  <w:style w:type="paragraph" w:styleId="Footer">
    <w:name w:val="footer"/>
    <w:basedOn w:val="Normal"/>
    <w:link w:val="FooterChar"/>
    <w:uiPriority w:val="99"/>
    <w:rsid w:val="00A47C06"/>
    <w:pPr>
      <w:tabs>
        <w:tab w:val="center" w:pos="4513"/>
        <w:tab w:val="right" w:pos="9026"/>
      </w:tabs>
      <w:ind w:right="-680"/>
      <w:jc w:val="right"/>
    </w:pPr>
    <w:rPr>
      <w:color w:val="1A1A1A"/>
      <w:sz w:val="18"/>
    </w:rPr>
  </w:style>
  <w:style w:type="character" w:customStyle="1" w:styleId="FooterChar">
    <w:name w:val="Footer Char"/>
    <w:basedOn w:val="DefaultParagraphFont"/>
    <w:link w:val="Footer"/>
    <w:uiPriority w:val="99"/>
    <w:rsid w:val="00A47C06"/>
    <w:rPr>
      <w:rFonts w:ascii="Cambria" w:hAnsi="Cambria"/>
      <w:color w:val="1A1A1A"/>
      <w:sz w:val="18"/>
      <w:szCs w:val="22"/>
      <w:lang w:val="en-GB"/>
    </w:rPr>
  </w:style>
  <w:style w:type="paragraph" w:styleId="Header">
    <w:name w:val="header"/>
    <w:basedOn w:val="Normal"/>
    <w:link w:val="HeaderChar"/>
    <w:uiPriority w:val="99"/>
    <w:rsid w:val="00313481"/>
    <w:pPr>
      <w:tabs>
        <w:tab w:val="center" w:pos="4513"/>
        <w:tab w:val="right" w:pos="9026"/>
      </w:tabs>
      <w:ind w:right="-680"/>
      <w:jc w:val="right"/>
    </w:pPr>
    <w:rPr>
      <w:color w:val="1A1A1A"/>
      <w:sz w:val="20"/>
    </w:rPr>
  </w:style>
  <w:style w:type="character" w:customStyle="1" w:styleId="HeaderChar">
    <w:name w:val="Header Char"/>
    <w:basedOn w:val="DefaultParagraphFont"/>
    <w:link w:val="Header"/>
    <w:uiPriority w:val="99"/>
    <w:rsid w:val="00313481"/>
    <w:rPr>
      <w:rFonts w:ascii="Cambria" w:hAnsi="Cambria"/>
      <w:color w:val="1A1A1A"/>
      <w:sz w:val="20"/>
      <w:szCs w:val="22"/>
      <w:lang w:val="en-GB"/>
    </w:rPr>
  </w:style>
  <w:style w:type="character" w:customStyle="1" w:styleId="Heading1Char">
    <w:name w:val="Heading 1 Char"/>
    <w:basedOn w:val="DefaultParagraphFont"/>
    <w:link w:val="Heading1"/>
    <w:uiPriority w:val="9"/>
    <w:semiHidden/>
    <w:rsid w:val="006748D9"/>
    <w:rPr>
      <w:rFonts w:ascii="Century Gothic" w:eastAsiaTheme="majorEastAsia" w:hAnsi="Century Gothic" w:cstheme="majorBidi"/>
      <w:b/>
      <w:color w:val="1A1A1A"/>
      <w:sz w:val="36"/>
      <w:szCs w:val="32"/>
      <w:lang w:val="en-GB"/>
    </w:rPr>
  </w:style>
  <w:style w:type="character" w:customStyle="1" w:styleId="Heading2Char">
    <w:name w:val="Heading 2 Char"/>
    <w:basedOn w:val="DefaultParagraphFont"/>
    <w:link w:val="Heading2"/>
    <w:uiPriority w:val="9"/>
    <w:semiHidden/>
    <w:rsid w:val="006748D9"/>
    <w:rPr>
      <w:rFonts w:ascii="Century Gothic" w:eastAsiaTheme="majorEastAsia" w:hAnsi="Century Gothic" w:cstheme="majorBidi"/>
      <w:b/>
      <w:color w:val="DA291C"/>
      <w:sz w:val="30"/>
      <w:szCs w:val="26"/>
      <w:lang w:val="en-GB"/>
    </w:rPr>
  </w:style>
  <w:style w:type="character" w:customStyle="1" w:styleId="Heading3Char">
    <w:name w:val="Heading 3 Char"/>
    <w:basedOn w:val="DefaultParagraphFont"/>
    <w:link w:val="Heading3"/>
    <w:uiPriority w:val="9"/>
    <w:semiHidden/>
    <w:rsid w:val="006748D9"/>
    <w:rPr>
      <w:rFonts w:ascii="Century Gothic" w:eastAsiaTheme="majorEastAsia" w:hAnsi="Century Gothic" w:cstheme="majorBidi"/>
      <w:b/>
      <w:color w:val="DA291C"/>
      <w:sz w:val="22"/>
      <w:szCs w:val="22"/>
      <w:lang w:val="en-GB"/>
    </w:rPr>
  </w:style>
  <w:style w:type="character" w:customStyle="1" w:styleId="Heading4Char">
    <w:name w:val="Heading 4 Char"/>
    <w:basedOn w:val="DefaultParagraphFont"/>
    <w:link w:val="Heading4"/>
    <w:uiPriority w:val="9"/>
    <w:semiHidden/>
    <w:rsid w:val="006748D9"/>
    <w:rPr>
      <w:rFonts w:ascii="Century Gothic" w:eastAsiaTheme="majorEastAsia" w:hAnsi="Century Gothic" w:cstheme="majorBidi"/>
      <w:b/>
      <w:iCs/>
      <w:color w:val="1A1A1A"/>
      <w:sz w:val="22"/>
      <w:szCs w:val="22"/>
      <w:lang w:val="en-GB"/>
    </w:rPr>
  </w:style>
  <w:style w:type="character" w:customStyle="1" w:styleId="Heading5Char">
    <w:name w:val="Heading 5 Char"/>
    <w:aliases w:val="Annex Heading Char"/>
    <w:basedOn w:val="DefaultParagraphFont"/>
    <w:link w:val="Heading5"/>
    <w:uiPriority w:val="19"/>
    <w:semiHidden/>
    <w:rsid w:val="006748D9"/>
    <w:rPr>
      <w:rFonts w:ascii="Century Gothic" w:eastAsiaTheme="majorEastAsia" w:hAnsi="Century Gothic" w:cstheme="majorBidi"/>
      <w:b/>
      <w:color w:val="1A1A1A"/>
      <w:sz w:val="36"/>
      <w:szCs w:val="32"/>
      <w:lang w:val="en-GB"/>
    </w:rPr>
  </w:style>
  <w:style w:type="character" w:customStyle="1" w:styleId="Heading6Char">
    <w:name w:val="Heading 6 Char"/>
    <w:aliases w:val="Annex Heading 2 Char"/>
    <w:basedOn w:val="DefaultParagraphFont"/>
    <w:link w:val="Heading6"/>
    <w:uiPriority w:val="19"/>
    <w:semiHidden/>
    <w:rsid w:val="006748D9"/>
    <w:rPr>
      <w:rFonts w:ascii="Century Gothic" w:eastAsiaTheme="majorEastAsia" w:hAnsi="Century Gothic" w:cstheme="majorBidi"/>
      <w:b/>
      <w:color w:val="DA291C"/>
      <w:sz w:val="30"/>
      <w:szCs w:val="26"/>
      <w:lang w:val="en-GB"/>
    </w:rPr>
  </w:style>
  <w:style w:type="paragraph" w:styleId="List">
    <w:name w:val="List"/>
    <w:basedOn w:val="Normal"/>
    <w:uiPriority w:val="99"/>
    <w:semiHidden/>
    <w:unhideWhenUsed/>
    <w:rsid w:val="00877BBC"/>
    <w:pPr>
      <w:spacing w:before="100" w:after="260" w:line="320" w:lineRule="atLeast"/>
      <w:ind w:left="284" w:hanging="284"/>
    </w:pPr>
  </w:style>
  <w:style w:type="paragraph" w:styleId="List2">
    <w:name w:val="List 2"/>
    <w:basedOn w:val="Normal"/>
    <w:uiPriority w:val="99"/>
    <w:semiHidden/>
    <w:unhideWhenUsed/>
    <w:rsid w:val="00877BBC"/>
    <w:pPr>
      <w:spacing w:after="260" w:line="320" w:lineRule="atLeast"/>
      <w:ind w:left="567"/>
    </w:pPr>
  </w:style>
  <w:style w:type="paragraph" w:styleId="List3">
    <w:name w:val="List 3"/>
    <w:basedOn w:val="Normal"/>
    <w:uiPriority w:val="99"/>
    <w:semiHidden/>
    <w:unhideWhenUsed/>
    <w:rsid w:val="00877BBC"/>
    <w:pPr>
      <w:spacing w:after="260" w:line="320" w:lineRule="atLeast"/>
      <w:ind w:left="851"/>
    </w:pPr>
  </w:style>
  <w:style w:type="paragraph" w:styleId="List4">
    <w:name w:val="List 4"/>
    <w:basedOn w:val="Normal"/>
    <w:uiPriority w:val="99"/>
    <w:semiHidden/>
    <w:unhideWhenUsed/>
    <w:rsid w:val="00877BBC"/>
    <w:pPr>
      <w:spacing w:after="260" w:line="320" w:lineRule="atLeast"/>
      <w:ind w:left="1134"/>
    </w:pPr>
  </w:style>
  <w:style w:type="paragraph" w:styleId="List5">
    <w:name w:val="List 5"/>
    <w:basedOn w:val="Normal"/>
    <w:uiPriority w:val="99"/>
    <w:semiHidden/>
    <w:unhideWhenUsed/>
    <w:rsid w:val="00877BBC"/>
    <w:pPr>
      <w:spacing w:after="260" w:line="320" w:lineRule="atLeast"/>
      <w:ind w:left="1418"/>
    </w:pPr>
  </w:style>
  <w:style w:type="paragraph" w:customStyle="1" w:styleId="wpDisclaimer">
    <w:name w:val="wp Disclaimer"/>
    <w:basedOn w:val="Normal"/>
    <w:uiPriority w:val="99"/>
    <w:qFormat/>
    <w:rsid w:val="00D33467"/>
    <w:pPr>
      <w:framePr w:wrap="around" w:hAnchor="margin" w:yAlign="bottom"/>
      <w:spacing w:line="200" w:lineRule="exact"/>
      <w:suppressOverlap/>
    </w:pPr>
    <w:rPr>
      <w:sz w:val="14"/>
    </w:rPr>
  </w:style>
  <w:style w:type="paragraph" w:customStyle="1" w:styleId="wpDisclaimerHeading">
    <w:name w:val="wp Disclaimer Heading"/>
    <w:basedOn w:val="Normal"/>
    <w:next w:val="wpDisclaimer"/>
    <w:uiPriority w:val="99"/>
    <w:qFormat/>
    <w:rsid w:val="006748D9"/>
    <w:rPr>
      <w:rFonts w:ascii="Century Gothic" w:hAnsi="Century Gothic"/>
      <w:b/>
      <w:color w:val="DA291C"/>
      <w:sz w:val="18"/>
    </w:rPr>
  </w:style>
  <w:style w:type="paragraph" w:customStyle="1" w:styleId="wpListContinue">
    <w:name w:val="wp List Continue"/>
    <w:basedOn w:val="Normal"/>
    <w:uiPriority w:val="9"/>
    <w:qFormat/>
    <w:rsid w:val="00BE6C2F"/>
    <w:pPr>
      <w:spacing w:after="260" w:line="320" w:lineRule="atLeast"/>
      <w:ind w:left="357"/>
      <w:jc w:val="both"/>
    </w:pPr>
  </w:style>
  <w:style w:type="numbering" w:customStyle="1" w:styleId="NumberList">
    <w:name w:val="Number List"/>
    <w:basedOn w:val="BulletList"/>
    <w:uiPriority w:val="99"/>
    <w:rsid w:val="00313481"/>
    <w:pPr>
      <w:numPr>
        <w:numId w:val="2"/>
      </w:numPr>
    </w:pPr>
  </w:style>
  <w:style w:type="table" w:styleId="TableGrid">
    <w:name w:val="Table Grid"/>
    <w:basedOn w:val="TableNormal"/>
    <w:uiPriority w:val="39"/>
    <w:rsid w:val="00313481"/>
    <w:pPr>
      <w:spacing w:line="240" w:lineRule="auto"/>
    </w:pPr>
    <w:rPr>
      <w:rFonts w:ascii="Cambria" w:hAnsi="Cambria"/>
      <w:sz w:val="22"/>
      <w:szCs w:val="22"/>
      <w:lang w:val="en-GB"/>
    </w:rPr>
    <w:tblPr>
      <w:tblCellMar>
        <w:left w:w="0" w:type="dxa"/>
        <w:right w:w="0" w:type="dxa"/>
      </w:tblCellMar>
    </w:tblPr>
  </w:style>
  <w:style w:type="paragraph" w:customStyle="1" w:styleId="wpHeading2">
    <w:name w:val="wp Heading 2"/>
    <w:basedOn w:val="wpHeading1"/>
    <w:next w:val="wpBodyText"/>
    <w:qFormat/>
    <w:rsid w:val="00ED2DBE"/>
    <w:pPr>
      <w:spacing w:line="360" w:lineRule="exact"/>
      <w:outlineLvl w:val="1"/>
    </w:pPr>
    <w:rPr>
      <w:color w:val="DA291C"/>
      <w:sz w:val="28"/>
    </w:rPr>
  </w:style>
  <w:style w:type="paragraph" w:styleId="TOC2">
    <w:name w:val="toc 2"/>
    <w:basedOn w:val="Normal"/>
    <w:next w:val="Normal"/>
    <w:uiPriority w:val="99"/>
    <w:semiHidden/>
    <w:unhideWhenUsed/>
    <w:rsid w:val="00313481"/>
    <w:pPr>
      <w:spacing w:after="100"/>
      <w:ind w:left="221"/>
    </w:pPr>
  </w:style>
  <w:style w:type="paragraph" w:styleId="TOC3">
    <w:name w:val="toc 3"/>
    <w:basedOn w:val="Normal"/>
    <w:next w:val="Normal"/>
    <w:uiPriority w:val="99"/>
    <w:semiHidden/>
    <w:unhideWhenUsed/>
    <w:rsid w:val="00313481"/>
    <w:pPr>
      <w:spacing w:after="100"/>
      <w:ind w:left="442"/>
    </w:pPr>
  </w:style>
  <w:style w:type="paragraph" w:customStyle="1" w:styleId="wpCaption">
    <w:name w:val="wp Caption"/>
    <w:basedOn w:val="Normal"/>
    <w:next w:val="wpBodyText"/>
    <w:uiPriority w:val="19"/>
    <w:qFormat/>
    <w:rsid w:val="00BE6C2F"/>
    <w:pPr>
      <w:keepNext/>
      <w:spacing w:before="260" w:line="320" w:lineRule="atLeast"/>
    </w:pPr>
    <w:rPr>
      <w:b/>
      <w:iCs/>
      <w:szCs w:val="18"/>
    </w:rPr>
  </w:style>
  <w:style w:type="paragraph" w:customStyle="1" w:styleId="wpQuoteText">
    <w:name w:val="wp Quote Text"/>
    <w:basedOn w:val="Normal"/>
    <w:uiPriority w:val="24"/>
    <w:qFormat/>
    <w:rsid w:val="00791A57"/>
    <w:pPr>
      <w:spacing w:before="260" w:line="320" w:lineRule="atLeast"/>
      <w:jc w:val="both"/>
    </w:pPr>
    <w:rPr>
      <w:i/>
      <w:iCs/>
      <w:color w:val="DA291C"/>
    </w:rPr>
  </w:style>
  <w:style w:type="paragraph" w:customStyle="1" w:styleId="wpQuoteSource">
    <w:name w:val="wp Quote Source"/>
    <w:basedOn w:val="Normal"/>
    <w:next w:val="wpQuoteText"/>
    <w:uiPriority w:val="24"/>
    <w:qFormat/>
    <w:rsid w:val="006748D9"/>
    <w:pPr>
      <w:spacing w:after="260" w:line="320" w:lineRule="atLeast"/>
    </w:pPr>
    <w:rPr>
      <w:b/>
      <w:iCs/>
      <w:color w:val="DA291C"/>
    </w:rPr>
  </w:style>
  <w:style w:type="character" w:styleId="PlaceholderText">
    <w:name w:val="Placeholder Text"/>
    <w:basedOn w:val="DefaultParagraphFont"/>
    <w:uiPriority w:val="99"/>
    <w:rsid w:val="00BD657E"/>
    <w:rPr>
      <w:color w:val="auto"/>
      <w:bdr w:val="none" w:sz="0" w:space="0" w:color="auto"/>
      <w:shd w:val="clear" w:color="auto" w:fill="C0C0C0"/>
    </w:rPr>
  </w:style>
  <w:style w:type="numbering" w:customStyle="1" w:styleId="EODBullets">
    <w:name w:val="EOD Bullets"/>
    <w:basedOn w:val="BulletList"/>
    <w:uiPriority w:val="99"/>
    <w:rsid w:val="006717AC"/>
    <w:pPr>
      <w:numPr>
        <w:numId w:val="3"/>
      </w:numPr>
    </w:pPr>
  </w:style>
  <w:style w:type="numbering" w:customStyle="1" w:styleId="EODListNumbers">
    <w:name w:val="EOD List Numbers"/>
    <w:basedOn w:val="NumberList"/>
    <w:uiPriority w:val="99"/>
    <w:rsid w:val="006717AC"/>
    <w:pPr>
      <w:numPr>
        <w:numId w:val="4"/>
      </w:numPr>
    </w:pPr>
  </w:style>
  <w:style w:type="paragraph" w:customStyle="1" w:styleId="wpBodyTextBold">
    <w:name w:val="wp Body Text Bold"/>
    <w:basedOn w:val="Normal"/>
    <w:uiPriority w:val="4"/>
    <w:qFormat/>
    <w:rsid w:val="00BE6C2F"/>
    <w:pPr>
      <w:spacing w:after="260" w:line="320" w:lineRule="atLeast"/>
      <w:jc w:val="both"/>
    </w:pPr>
    <w:rPr>
      <w:b/>
    </w:rPr>
  </w:style>
  <w:style w:type="paragraph" w:customStyle="1" w:styleId="wpBodyTextNoSpacing">
    <w:name w:val="wp Body Text No Spacing"/>
    <w:basedOn w:val="Normal"/>
    <w:uiPriority w:val="4"/>
    <w:qFormat/>
    <w:rsid w:val="00BE6C2F"/>
    <w:pPr>
      <w:spacing w:line="320" w:lineRule="atLeast"/>
      <w:jc w:val="both"/>
    </w:pPr>
  </w:style>
  <w:style w:type="paragraph" w:customStyle="1" w:styleId="BoxText">
    <w:name w:val="Box Text"/>
    <w:basedOn w:val="Normal"/>
    <w:uiPriority w:val="31"/>
    <w:qFormat/>
    <w:rsid w:val="00BE6C2F"/>
    <w:pPr>
      <w:spacing w:before="100" w:after="100"/>
      <w:jc w:val="both"/>
    </w:pPr>
    <w:rPr>
      <w:color w:val="FFFFFF"/>
    </w:rPr>
  </w:style>
  <w:style w:type="paragraph" w:customStyle="1" w:styleId="BoxBullet">
    <w:name w:val="Box Bullet"/>
    <w:basedOn w:val="BoxText"/>
    <w:uiPriority w:val="99"/>
    <w:qFormat/>
    <w:rsid w:val="006748D9"/>
    <w:pPr>
      <w:numPr>
        <w:numId w:val="13"/>
      </w:numPr>
    </w:pPr>
  </w:style>
  <w:style w:type="paragraph" w:styleId="BalloonText">
    <w:name w:val="Balloon Text"/>
    <w:basedOn w:val="Normal"/>
    <w:link w:val="BalloonTextChar"/>
    <w:uiPriority w:val="99"/>
    <w:semiHidden/>
    <w:unhideWhenUsed/>
    <w:rsid w:val="003134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481"/>
    <w:rPr>
      <w:rFonts w:ascii="Segoe UI" w:hAnsi="Segoe UI" w:cs="Segoe UI"/>
      <w:sz w:val="18"/>
      <w:szCs w:val="18"/>
      <w:lang w:val="en-GB"/>
    </w:rPr>
  </w:style>
  <w:style w:type="character" w:customStyle="1" w:styleId="BlueText">
    <w:name w:val="Blue Text"/>
    <w:basedOn w:val="DefaultParagraphFont"/>
    <w:uiPriority w:val="99"/>
    <w:rsid w:val="00313481"/>
    <w:rPr>
      <w:rFonts w:ascii="Cambria" w:hAnsi="Cambria" w:hint="default"/>
      <w:b/>
      <w:bCs w:val="0"/>
      <w:color w:val="0000FF"/>
    </w:rPr>
  </w:style>
  <w:style w:type="paragraph" w:customStyle="1" w:styleId="BoxHeading">
    <w:name w:val="Box Heading"/>
    <w:basedOn w:val="Heading2"/>
    <w:uiPriority w:val="99"/>
    <w:qFormat/>
    <w:rsid w:val="006748D9"/>
    <w:pPr>
      <w:spacing w:before="0" w:after="200"/>
    </w:pPr>
    <w:rPr>
      <w:color w:val="FFFFFF"/>
    </w:rPr>
  </w:style>
  <w:style w:type="paragraph" w:customStyle="1" w:styleId="CaseStudyHeading">
    <w:name w:val="Case Study Heading"/>
    <w:basedOn w:val="BoxHeading"/>
    <w:next w:val="Normal"/>
    <w:uiPriority w:val="99"/>
    <w:qFormat/>
    <w:rsid w:val="006748D9"/>
    <w:pPr>
      <w:outlineLvl w:val="9"/>
    </w:pPr>
  </w:style>
  <w:style w:type="paragraph" w:customStyle="1" w:styleId="CaseStudyText">
    <w:name w:val="Case Study Text"/>
    <w:basedOn w:val="Normal"/>
    <w:uiPriority w:val="33"/>
    <w:qFormat/>
    <w:rsid w:val="00BE6C2F"/>
    <w:pPr>
      <w:spacing w:before="260" w:after="260" w:line="320" w:lineRule="atLeast"/>
      <w:jc w:val="both"/>
    </w:pPr>
    <w:rPr>
      <w:color w:val="FFFFFF"/>
    </w:rPr>
  </w:style>
  <w:style w:type="paragraph" w:customStyle="1" w:styleId="CaseStudyQuote">
    <w:name w:val="Case Study Quote"/>
    <w:basedOn w:val="CaseStudyText"/>
    <w:uiPriority w:val="99"/>
    <w:qFormat/>
    <w:rsid w:val="006748D9"/>
    <w:rPr>
      <w:i/>
    </w:rPr>
  </w:style>
  <w:style w:type="paragraph" w:customStyle="1" w:styleId="wpTableText">
    <w:name w:val="wp Table Text"/>
    <w:basedOn w:val="Normal"/>
    <w:uiPriority w:val="14"/>
    <w:qFormat/>
    <w:rsid w:val="00480A3C"/>
    <w:pPr>
      <w:spacing w:line="260" w:lineRule="atLeast"/>
    </w:pPr>
    <w:rPr>
      <w:sz w:val="20"/>
    </w:rPr>
  </w:style>
  <w:style w:type="paragraph" w:customStyle="1" w:styleId="wpColumnHeading">
    <w:name w:val="wp Column Heading"/>
    <w:basedOn w:val="Normal"/>
    <w:next w:val="wpTableText"/>
    <w:uiPriority w:val="14"/>
    <w:qFormat/>
    <w:rsid w:val="006748D9"/>
    <w:pPr>
      <w:spacing w:line="260" w:lineRule="atLeast"/>
    </w:pPr>
    <w:rPr>
      <w:b/>
      <w:color w:val="FFFFFF"/>
      <w:sz w:val="20"/>
    </w:rPr>
  </w:style>
  <w:style w:type="paragraph" w:customStyle="1" w:styleId="wpSource">
    <w:name w:val="wp Source"/>
    <w:basedOn w:val="Normal"/>
    <w:next w:val="wpBodyText"/>
    <w:uiPriority w:val="16"/>
    <w:qFormat/>
    <w:rsid w:val="00480A3C"/>
    <w:pPr>
      <w:spacing w:after="260"/>
      <w:jc w:val="right"/>
    </w:pPr>
    <w:rPr>
      <w:i/>
      <w:sz w:val="16"/>
    </w:rPr>
  </w:style>
  <w:style w:type="paragraph" w:customStyle="1" w:styleId="wpTableBullet">
    <w:name w:val="wp Table Bullet"/>
    <w:basedOn w:val="Normal"/>
    <w:uiPriority w:val="15"/>
    <w:qFormat/>
    <w:rsid w:val="00A345D3"/>
    <w:pPr>
      <w:numPr>
        <w:numId w:val="12"/>
      </w:numPr>
      <w:spacing w:line="260" w:lineRule="atLeast"/>
    </w:pPr>
    <w:rPr>
      <w:sz w:val="20"/>
    </w:rPr>
  </w:style>
  <w:style w:type="paragraph" w:customStyle="1" w:styleId="wpTableBullet2">
    <w:name w:val="wp Table Bullet 2"/>
    <w:basedOn w:val="Normal"/>
    <w:uiPriority w:val="15"/>
    <w:qFormat/>
    <w:rsid w:val="00A345D3"/>
    <w:pPr>
      <w:numPr>
        <w:ilvl w:val="1"/>
        <w:numId w:val="12"/>
      </w:numPr>
      <w:spacing w:line="260" w:lineRule="atLeast"/>
    </w:pPr>
    <w:rPr>
      <w:sz w:val="20"/>
    </w:rPr>
  </w:style>
  <w:style w:type="paragraph" w:customStyle="1" w:styleId="wpContactHeading">
    <w:name w:val="wp Contact Heading"/>
    <w:basedOn w:val="Normal"/>
    <w:next w:val="wpContactText"/>
    <w:uiPriority w:val="99"/>
    <w:qFormat/>
    <w:rsid w:val="00877BBC"/>
    <w:pPr>
      <w:spacing w:line="320" w:lineRule="exact"/>
    </w:pPr>
    <w:rPr>
      <w:rFonts w:ascii="Century Gothic" w:hAnsi="Century Gothic"/>
      <w:b/>
      <w:color w:val="DA291C"/>
      <w:sz w:val="18"/>
    </w:rPr>
  </w:style>
  <w:style w:type="character" w:customStyle="1" w:styleId="Heading7Char">
    <w:name w:val="Heading 7 Char"/>
    <w:aliases w:val="Annex Heading 3 Char"/>
    <w:basedOn w:val="DefaultParagraphFont"/>
    <w:link w:val="Heading7"/>
    <w:uiPriority w:val="19"/>
    <w:semiHidden/>
    <w:rsid w:val="006748D9"/>
    <w:rPr>
      <w:rFonts w:ascii="Century Gothic" w:eastAsiaTheme="majorEastAsia" w:hAnsi="Century Gothic" w:cstheme="majorBidi"/>
      <w:b/>
      <w:iCs/>
      <w:color w:val="DA291C"/>
      <w:sz w:val="22"/>
      <w:szCs w:val="22"/>
      <w:lang w:val="en-GB"/>
    </w:rPr>
  </w:style>
  <w:style w:type="character" w:customStyle="1" w:styleId="Heading8Char">
    <w:name w:val="Heading 8 Char"/>
    <w:aliases w:val="Annex Heading 4 Char"/>
    <w:basedOn w:val="DefaultParagraphFont"/>
    <w:link w:val="Heading8"/>
    <w:uiPriority w:val="19"/>
    <w:semiHidden/>
    <w:rsid w:val="006748D9"/>
    <w:rPr>
      <w:rFonts w:ascii="Century Gothic" w:eastAsiaTheme="majorEastAsia" w:hAnsi="Century Gothic" w:cstheme="majorBidi"/>
      <w:b/>
      <w:iCs/>
      <w:color w:val="1A1A1A"/>
      <w:sz w:val="22"/>
      <w:szCs w:val="21"/>
      <w:lang w:val="en-GB"/>
    </w:rPr>
  </w:style>
  <w:style w:type="character" w:styleId="Hyperlink">
    <w:name w:val="Hyperlink"/>
    <w:basedOn w:val="DefaultParagraphFont"/>
    <w:uiPriority w:val="99"/>
    <w:unhideWhenUsed/>
    <w:rsid w:val="00313481"/>
    <w:rPr>
      <w:color w:val="0000FF" w:themeColor="hyperlink"/>
      <w:u w:val="single"/>
    </w:rPr>
  </w:style>
  <w:style w:type="table" w:customStyle="1" w:styleId="SQW">
    <w:name w:val="SQW"/>
    <w:basedOn w:val="TableNormal"/>
    <w:uiPriority w:val="99"/>
    <w:rsid w:val="00313481"/>
    <w:pPr>
      <w:spacing w:line="240" w:lineRule="auto"/>
    </w:pPr>
    <w:rPr>
      <w:rFonts w:ascii="Cambria" w:hAnsi="Cambria"/>
      <w:sz w:val="20"/>
      <w:szCs w:val="22"/>
    </w:rPr>
    <w:tblPr>
      <w:tblStyleRowBandSize w:val="1"/>
      <w:tblBorders>
        <w:insideV w:val="single" w:sz="8" w:space="0" w:color="9DA4A9"/>
      </w:tblBorders>
      <w:tblCellMar>
        <w:top w:w="57" w:type="dxa"/>
        <w:bottom w:w="57" w:type="dxa"/>
      </w:tblCellMar>
    </w:tblPr>
    <w:tblStylePr w:type="firstRow">
      <w:tblPr/>
      <w:tcPr>
        <w:tcBorders>
          <w:top w:val="nil"/>
          <w:left w:val="single" w:sz="4" w:space="0" w:color="DA291C"/>
          <w:bottom w:val="nil"/>
          <w:right w:val="nil"/>
          <w:insideH w:val="single" w:sz="4" w:space="0" w:color="9DA4A9"/>
          <w:insideV w:val="single" w:sz="8" w:space="0" w:color="9DA4A9"/>
          <w:tl2br w:val="nil"/>
          <w:tr2bl w:val="nil"/>
        </w:tcBorders>
        <w:shd w:val="clear" w:color="auto" w:fill="DA291C"/>
      </w:tcPr>
    </w:tblStylePr>
    <w:tblStylePr w:type="band2Horz">
      <w:rPr>
        <w:rFonts w:ascii="Cambria" w:hAnsi="Cambria"/>
      </w:rPr>
      <w:tblPr/>
      <w:tcPr>
        <w:tcBorders>
          <w:top w:val="nil"/>
          <w:left w:val="single" w:sz="4" w:space="0" w:color="EBEDEE"/>
          <w:bottom w:val="nil"/>
          <w:right w:val="single" w:sz="4" w:space="0" w:color="EBEDEE"/>
          <w:insideH w:val="nil"/>
          <w:insideV w:val="single" w:sz="8" w:space="0" w:color="9DA4A9"/>
          <w:tl2br w:val="nil"/>
          <w:tr2bl w:val="nil"/>
        </w:tcBorders>
        <w:shd w:val="clear" w:color="auto" w:fill="EBEDEE"/>
      </w:tcPr>
    </w:tblStylePr>
  </w:style>
  <w:style w:type="numbering" w:customStyle="1" w:styleId="SQWAnnexHeadings">
    <w:name w:val="SQW Annex Headings"/>
    <w:basedOn w:val="NoList"/>
    <w:uiPriority w:val="99"/>
    <w:rsid w:val="00313481"/>
    <w:pPr>
      <w:numPr>
        <w:numId w:val="7"/>
      </w:numPr>
    </w:pPr>
  </w:style>
  <w:style w:type="numbering" w:customStyle="1" w:styleId="SQWBoxBullets">
    <w:name w:val="SQW Box Bullets"/>
    <w:basedOn w:val="NoList"/>
    <w:uiPriority w:val="99"/>
    <w:rsid w:val="00313481"/>
    <w:pPr>
      <w:numPr>
        <w:numId w:val="8"/>
      </w:numPr>
    </w:pPr>
  </w:style>
  <w:style w:type="numbering" w:customStyle="1" w:styleId="SQWBullets">
    <w:name w:val="SQW Bullets"/>
    <w:basedOn w:val="BulletList"/>
    <w:uiPriority w:val="99"/>
    <w:rsid w:val="00A345D3"/>
    <w:pPr>
      <w:numPr>
        <w:numId w:val="9"/>
      </w:numPr>
    </w:pPr>
  </w:style>
  <w:style w:type="table" w:customStyle="1" w:styleId="SQWCaseStudy">
    <w:name w:val="SQW Case Study"/>
    <w:basedOn w:val="TableNormal"/>
    <w:uiPriority w:val="99"/>
    <w:rsid w:val="00313481"/>
    <w:pPr>
      <w:spacing w:line="240" w:lineRule="auto"/>
    </w:pPr>
    <w:rPr>
      <w:rFonts w:ascii="Cambria" w:hAnsi="Cambria"/>
      <w:sz w:val="22"/>
      <w:szCs w:val="22"/>
    </w:rPr>
    <w:tblPr>
      <w:tblBorders>
        <w:top w:val="single" w:sz="4" w:space="0" w:color="5B6770"/>
        <w:left w:val="single" w:sz="4" w:space="0" w:color="5B6770"/>
        <w:bottom w:val="single" w:sz="4" w:space="0" w:color="5B6770"/>
        <w:right w:val="single" w:sz="4" w:space="0" w:color="5B6770"/>
      </w:tblBorders>
      <w:tblCellMar>
        <w:top w:w="227" w:type="dxa"/>
        <w:left w:w="227" w:type="dxa"/>
        <w:bottom w:w="227" w:type="dxa"/>
        <w:right w:w="227" w:type="dxa"/>
      </w:tblCellMar>
    </w:tblPr>
    <w:tcPr>
      <w:shd w:val="clear" w:color="auto" w:fill="5B6770"/>
    </w:tcPr>
  </w:style>
  <w:style w:type="table" w:customStyle="1" w:styleId="SQWChartBox">
    <w:name w:val="SQW Chart Box"/>
    <w:basedOn w:val="TableNormal"/>
    <w:uiPriority w:val="99"/>
    <w:rsid w:val="00BE6C2F"/>
    <w:pPr>
      <w:spacing w:line="240" w:lineRule="auto"/>
    </w:pPr>
    <w:rPr>
      <w:rFonts w:ascii="Cambria" w:hAnsi="Cambria"/>
      <w:sz w:val="22"/>
      <w:szCs w:val="22"/>
    </w:rPr>
    <w:tblPr>
      <w:tblBorders>
        <w:top w:val="single" w:sz="4" w:space="0" w:color="B3B3B3"/>
        <w:left w:val="single" w:sz="4" w:space="0" w:color="B3B3B3"/>
        <w:bottom w:val="single" w:sz="4" w:space="0" w:color="B3B3B3"/>
        <w:right w:val="single" w:sz="4" w:space="0" w:color="B3B3B3"/>
      </w:tblBorders>
      <w:tblCellMar>
        <w:top w:w="170" w:type="dxa"/>
        <w:left w:w="170" w:type="dxa"/>
        <w:bottom w:w="170" w:type="dxa"/>
        <w:right w:w="170" w:type="dxa"/>
      </w:tblCellMar>
    </w:tblPr>
    <w:tcPr>
      <w:shd w:val="clear" w:color="auto" w:fill="auto"/>
    </w:tcPr>
  </w:style>
  <w:style w:type="numbering" w:customStyle="1" w:styleId="SQWListNumbers">
    <w:name w:val="SQW List Numbers"/>
    <w:basedOn w:val="NumberList"/>
    <w:uiPriority w:val="99"/>
    <w:rsid w:val="006A3E3A"/>
    <w:pPr>
      <w:numPr>
        <w:numId w:val="10"/>
      </w:numPr>
    </w:pPr>
  </w:style>
  <w:style w:type="numbering" w:customStyle="1" w:styleId="SQWMain">
    <w:name w:val="SQW Main"/>
    <w:basedOn w:val="NoList"/>
    <w:uiPriority w:val="99"/>
    <w:rsid w:val="00313481"/>
    <w:pPr>
      <w:numPr>
        <w:numId w:val="5"/>
      </w:numPr>
    </w:pPr>
  </w:style>
  <w:style w:type="numbering" w:customStyle="1" w:styleId="SQWPlainNumbering">
    <w:name w:val="SQW Plain Numbering"/>
    <w:basedOn w:val="SQWMain"/>
    <w:uiPriority w:val="99"/>
    <w:rsid w:val="00313481"/>
    <w:pPr>
      <w:numPr>
        <w:numId w:val="6"/>
      </w:numPr>
    </w:pPr>
  </w:style>
  <w:style w:type="table" w:customStyle="1" w:styleId="SQWSummaryBox">
    <w:name w:val="SQW Summary Box"/>
    <w:basedOn w:val="TableNormal"/>
    <w:uiPriority w:val="99"/>
    <w:rsid w:val="003A4706"/>
    <w:pPr>
      <w:spacing w:line="240" w:lineRule="auto"/>
    </w:pPr>
    <w:rPr>
      <w:rFonts w:ascii="Cambria" w:hAnsi="Cambria"/>
      <w:sz w:val="22"/>
      <w:szCs w:val="22"/>
    </w:rPr>
    <w:tblPr>
      <w:tblBorders>
        <w:top w:val="single" w:sz="4" w:space="0" w:color="5B6770"/>
        <w:left w:val="single" w:sz="4" w:space="0" w:color="5B6770"/>
        <w:bottom w:val="single" w:sz="4" w:space="0" w:color="5B6770"/>
        <w:right w:val="single" w:sz="4" w:space="0" w:color="5B6770"/>
      </w:tblBorders>
      <w:tblCellMar>
        <w:top w:w="227" w:type="dxa"/>
        <w:left w:w="510" w:type="dxa"/>
        <w:bottom w:w="227" w:type="dxa"/>
        <w:right w:w="510" w:type="dxa"/>
      </w:tblCellMar>
    </w:tblPr>
    <w:tcPr>
      <w:shd w:val="clear" w:color="auto" w:fill="5B6770"/>
    </w:tcPr>
  </w:style>
  <w:style w:type="numbering" w:customStyle="1" w:styleId="SQWTableBullets">
    <w:name w:val="SQW Table Bullets"/>
    <w:basedOn w:val="NoList"/>
    <w:uiPriority w:val="99"/>
    <w:rsid w:val="00A345D3"/>
    <w:pPr>
      <w:numPr>
        <w:numId w:val="12"/>
      </w:numPr>
    </w:pPr>
  </w:style>
  <w:style w:type="paragraph" w:customStyle="1" w:styleId="wpBodyText">
    <w:name w:val="wp Body Text"/>
    <w:basedOn w:val="Normal"/>
    <w:uiPriority w:val="4"/>
    <w:qFormat/>
    <w:rsid w:val="00BE6C2F"/>
    <w:pPr>
      <w:spacing w:after="260" w:line="320" w:lineRule="atLeast"/>
      <w:jc w:val="both"/>
    </w:pPr>
  </w:style>
  <w:style w:type="paragraph" w:customStyle="1" w:styleId="wpDate">
    <w:name w:val="wp Date"/>
    <w:basedOn w:val="Normal"/>
    <w:uiPriority w:val="99"/>
    <w:qFormat/>
    <w:rsid w:val="006748D9"/>
    <w:pPr>
      <w:jc w:val="right"/>
    </w:pPr>
    <w:rPr>
      <w:rFonts w:ascii="Century Gothic" w:hAnsi="Century Gothic"/>
      <w:b/>
      <w:color w:val="FFFFFF"/>
      <w:sz w:val="24"/>
    </w:rPr>
  </w:style>
  <w:style w:type="paragraph" w:customStyle="1" w:styleId="wpTitle">
    <w:name w:val="wp Title"/>
    <w:basedOn w:val="Normal"/>
    <w:uiPriority w:val="99"/>
    <w:qFormat/>
    <w:rsid w:val="00877BBC"/>
    <w:pPr>
      <w:spacing w:after="400"/>
      <w:contextualSpacing/>
    </w:pPr>
    <w:rPr>
      <w:rFonts w:ascii="Century Gothic" w:eastAsiaTheme="majorEastAsia" w:hAnsi="Century Gothic" w:cstheme="majorBidi"/>
      <w:b/>
      <w:color w:val="FFFFFF"/>
      <w:kern w:val="28"/>
      <w:sz w:val="52"/>
      <w:szCs w:val="56"/>
    </w:rPr>
  </w:style>
  <w:style w:type="paragraph" w:customStyle="1" w:styleId="wpSubtitle">
    <w:name w:val="wp Subtitle"/>
    <w:basedOn w:val="Normal"/>
    <w:uiPriority w:val="99"/>
    <w:qFormat/>
    <w:rsid w:val="009C59AD"/>
    <w:pPr>
      <w:numPr>
        <w:ilvl w:val="1"/>
      </w:numPr>
    </w:pPr>
    <w:rPr>
      <w:rFonts w:ascii="Century Gothic" w:eastAsiaTheme="minorEastAsia" w:hAnsi="Century Gothic"/>
      <w:b/>
      <w:color w:val="FFFFFF"/>
      <w:sz w:val="36"/>
    </w:rPr>
  </w:style>
  <w:style w:type="paragraph" w:customStyle="1" w:styleId="wpHeading1">
    <w:name w:val="wp Heading 1"/>
    <w:basedOn w:val="Heading1"/>
    <w:next w:val="wpBodyText"/>
    <w:qFormat/>
    <w:rsid w:val="002177F7"/>
    <w:pPr>
      <w:spacing w:before="360" w:after="180"/>
    </w:pPr>
  </w:style>
  <w:style w:type="paragraph" w:customStyle="1" w:styleId="wpListBullet">
    <w:name w:val="wp List Bullet"/>
    <w:basedOn w:val="Normal"/>
    <w:uiPriority w:val="9"/>
    <w:qFormat/>
    <w:rsid w:val="00A345D3"/>
    <w:pPr>
      <w:numPr>
        <w:numId w:val="9"/>
      </w:numPr>
      <w:spacing w:after="180" w:line="320" w:lineRule="atLeast"/>
      <w:jc w:val="both"/>
    </w:pPr>
  </w:style>
  <w:style w:type="paragraph" w:customStyle="1" w:styleId="wpListBullet2">
    <w:name w:val="wp List Bullet 2"/>
    <w:basedOn w:val="Normal"/>
    <w:uiPriority w:val="9"/>
    <w:qFormat/>
    <w:rsid w:val="00A345D3"/>
    <w:pPr>
      <w:numPr>
        <w:ilvl w:val="1"/>
        <w:numId w:val="9"/>
      </w:numPr>
      <w:spacing w:before="100" w:after="100" w:line="320" w:lineRule="atLeast"/>
      <w:jc w:val="both"/>
    </w:pPr>
  </w:style>
  <w:style w:type="paragraph" w:customStyle="1" w:styleId="wpListContinue2">
    <w:name w:val="wp List Continue 2"/>
    <w:basedOn w:val="Normal"/>
    <w:uiPriority w:val="9"/>
    <w:qFormat/>
    <w:rsid w:val="00BE6C2F"/>
    <w:pPr>
      <w:spacing w:after="260" w:line="320" w:lineRule="atLeast"/>
      <w:ind w:left="714"/>
      <w:jc w:val="both"/>
    </w:pPr>
  </w:style>
  <w:style w:type="paragraph" w:customStyle="1" w:styleId="wpContactText">
    <w:name w:val="wp Contact Text"/>
    <w:basedOn w:val="Normal"/>
    <w:uiPriority w:val="99"/>
    <w:qFormat/>
    <w:rsid w:val="00877BBC"/>
    <w:pPr>
      <w:spacing w:line="320" w:lineRule="exact"/>
    </w:pPr>
    <w:rPr>
      <w:rFonts w:ascii="Century Gothic" w:hAnsi="Century Gothic"/>
      <w:b/>
      <w:sz w:val="18"/>
    </w:rPr>
  </w:style>
  <w:style w:type="paragraph" w:customStyle="1" w:styleId="ContactText">
    <w:name w:val="Contact Text"/>
    <w:basedOn w:val="Normal"/>
    <w:uiPriority w:val="99"/>
    <w:qFormat/>
    <w:rsid w:val="008A7BCB"/>
    <w:pPr>
      <w:framePr w:wrap="around" w:hAnchor="margin" w:yAlign="bottom"/>
      <w:spacing w:line="320" w:lineRule="exact"/>
      <w:suppressOverlap/>
    </w:pPr>
    <w:rPr>
      <w:rFonts w:ascii="Century Gothic" w:hAnsi="Century Gothic"/>
      <w:b/>
      <w:sz w:val="18"/>
    </w:rPr>
  </w:style>
  <w:style w:type="paragraph" w:customStyle="1" w:styleId="wpTOEHeading">
    <w:name w:val="wp TOE Heading"/>
    <w:basedOn w:val="Normal"/>
    <w:next w:val="wpBodyText"/>
    <w:uiPriority w:val="99"/>
    <w:qFormat/>
    <w:rsid w:val="00803B73"/>
    <w:pPr>
      <w:keepNext/>
      <w:keepLines/>
      <w:spacing w:after="120"/>
      <w:outlineLvl w:val="3"/>
    </w:pPr>
    <w:rPr>
      <w:rFonts w:ascii="Century Gothic" w:eastAsiaTheme="majorEastAsia" w:hAnsi="Century Gothic" w:cstheme="majorBidi"/>
      <w:b/>
      <w:iCs/>
      <w:color w:val="1A1A1A"/>
    </w:rPr>
  </w:style>
  <w:style w:type="paragraph" w:customStyle="1" w:styleId="wpHeading3">
    <w:name w:val="wp Heading 3"/>
    <w:basedOn w:val="wpHeading2"/>
    <w:next w:val="wpBodyText"/>
    <w:qFormat/>
    <w:rsid w:val="00ED2DBE"/>
    <w:pPr>
      <w:spacing w:line="320" w:lineRule="atLeast"/>
    </w:pPr>
    <w:rPr>
      <w:sz w:val="24"/>
    </w:rPr>
  </w:style>
  <w:style w:type="paragraph" w:customStyle="1" w:styleId="wpHeading4">
    <w:name w:val="wp Heading 4"/>
    <w:basedOn w:val="wpHeading3"/>
    <w:next w:val="wpBodyText"/>
    <w:qFormat/>
    <w:rsid w:val="002D60A1"/>
    <w:rPr>
      <w:sz w:val="20"/>
    </w:rPr>
  </w:style>
  <w:style w:type="paragraph" w:customStyle="1" w:styleId="wpHeading5">
    <w:name w:val="wp Heading 5"/>
    <w:basedOn w:val="wpHeading4"/>
    <w:next w:val="wpBodyText"/>
    <w:qFormat/>
    <w:rsid w:val="00ED2DBE"/>
    <w:rPr>
      <w:b w:val="0"/>
    </w:rPr>
  </w:style>
  <w:style w:type="character" w:styleId="CommentReference">
    <w:name w:val="annotation reference"/>
    <w:basedOn w:val="DefaultParagraphFont"/>
    <w:uiPriority w:val="99"/>
    <w:semiHidden/>
    <w:unhideWhenUsed/>
    <w:rsid w:val="005E41FE"/>
    <w:rPr>
      <w:sz w:val="16"/>
      <w:szCs w:val="16"/>
    </w:rPr>
  </w:style>
  <w:style w:type="paragraph" w:styleId="CommentText">
    <w:name w:val="annotation text"/>
    <w:basedOn w:val="Normal"/>
    <w:link w:val="CommentTextChar"/>
    <w:uiPriority w:val="99"/>
    <w:semiHidden/>
    <w:unhideWhenUsed/>
    <w:rsid w:val="005E41FE"/>
    <w:rPr>
      <w:sz w:val="20"/>
      <w:szCs w:val="20"/>
    </w:rPr>
  </w:style>
  <w:style w:type="character" w:customStyle="1" w:styleId="CommentTextChar">
    <w:name w:val="Comment Text Char"/>
    <w:basedOn w:val="DefaultParagraphFont"/>
    <w:link w:val="CommentText"/>
    <w:uiPriority w:val="99"/>
    <w:semiHidden/>
    <w:rsid w:val="005E41FE"/>
    <w:rPr>
      <w:rFonts w:ascii="Cambria" w:hAnsi="Cambria"/>
      <w:sz w:val="20"/>
      <w:szCs w:val="20"/>
      <w:lang w:val="en-GB"/>
    </w:rPr>
  </w:style>
  <w:style w:type="paragraph" w:styleId="CommentSubject">
    <w:name w:val="annotation subject"/>
    <w:basedOn w:val="CommentText"/>
    <w:next w:val="CommentText"/>
    <w:link w:val="CommentSubjectChar"/>
    <w:uiPriority w:val="99"/>
    <w:semiHidden/>
    <w:unhideWhenUsed/>
    <w:rsid w:val="005E41FE"/>
    <w:rPr>
      <w:b/>
      <w:bCs/>
    </w:rPr>
  </w:style>
  <w:style w:type="character" w:customStyle="1" w:styleId="CommentSubjectChar">
    <w:name w:val="Comment Subject Char"/>
    <w:basedOn w:val="CommentTextChar"/>
    <w:link w:val="CommentSubject"/>
    <w:uiPriority w:val="99"/>
    <w:semiHidden/>
    <w:rsid w:val="005E41FE"/>
    <w:rPr>
      <w:rFonts w:ascii="Cambria" w:hAnsi="Cambria"/>
      <w:b/>
      <w:bCs/>
      <w:sz w:val="20"/>
      <w:szCs w:val="20"/>
      <w:lang w:val="en-GB"/>
    </w:rPr>
  </w:style>
  <w:style w:type="paragraph" w:styleId="Revision">
    <w:name w:val="Revision"/>
    <w:hidden/>
    <w:uiPriority w:val="99"/>
    <w:semiHidden/>
    <w:rsid w:val="008C4105"/>
    <w:pPr>
      <w:spacing w:line="240" w:lineRule="auto"/>
    </w:pPr>
    <w:rPr>
      <w:rFonts w:ascii="Cambria" w:hAnsi="Cambria"/>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97811">
      <w:bodyDiv w:val="1"/>
      <w:marLeft w:val="0"/>
      <w:marRight w:val="0"/>
      <w:marTop w:val="0"/>
      <w:marBottom w:val="0"/>
      <w:divBdr>
        <w:top w:val="none" w:sz="0" w:space="0" w:color="auto"/>
        <w:left w:val="none" w:sz="0" w:space="0" w:color="auto"/>
        <w:bottom w:val="none" w:sz="0" w:space="0" w:color="auto"/>
        <w:right w:val="none" w:sz="0" w:space="0" w:color="auto"/>
      </w:divBdr>
    </w:div>
    <w:div w:id="1153450994">
      <w:bodyDiv w:val="1"/>
      <w:marLeft w:val="0"/>
      <w:marRight w:val="0"/>
      <w:marTop w:val="0"/>
      <w:marBottom w:val="0"/>
      <w:divBdr>
        <w:top w:val="none" w:sz="0" w:space="0" w:color="auto"/>
        <w:left w:val="none" w:sz="0" w:space="0" w:color="auto"/>
        <w:bottom w:val="none" w:sz="0" w:space="0" w:color="auto"/>
        <w:right w:val="none" w:sz="0" w:space="0" w:color="auto"/>
      </w:divBdr>
    </w:div>
    <w:div w:id="17067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brown\AppData\Roaming\Microsoft\Templates\SQW%20Working%20Paper%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9418288F934870BA6639F1432A406D"/>
        <w:category>
          <w:name w:val="General"/>
          <w:gallery w:val="placeholder"/>
        </w:category>
        <w:types>
          <w:type w:val="bbPlcHdr"/>
        </w:types>
        <w:behaviors>
          <w:behavior w:val="content"/>
        </w:behaviors>
        <w:guid w:val="{9474DBAE-EC6F-4840-9E84-7FAA63AFE6C2}"/>
      </w:docPartPr>
      <w:docPartBody>
        <w:p w:rsidR="00311940" w:rsidRDefault="00311940">
          <w:pPr>
            <w:pStyle w:val="9E9418288F934870BA6639F1432A406D"/>
          </w:pPr>
          <w:r>
            <w:rPr>
              <w:rStyle w:val="PlaceholderText"/>
            </w:rPr>
            <w:t>Enter date</w:t>
          </w:r>
        </w:p>
      </w:docPartBody>
    </w:docPart>
    <w:docPart>
      <w:docPartPr>
        <w:name w:val="795C7E806A074F138E740C67191DD1A2"/>
        <w:category>
          <w:name w:val="General"/>
          <w:gallery w:val="placeholder"/>
        </w:category>
        <w:types>
          <w:type w:val="bbPlcHdr"/>
        </w:types>
        <w:behaviors>
          <w:behavior w:val="content"/>
        </w:behaviors>
        <w:guid w:val="{1FFE65DC-46A5-4E27-A0F1-5A2F4408F41B}"/>
      </w:docPartPr>
      <w:docPartBody>
        <w:p w:rsidR="00311940" w:rsidRDefault="00311940">
          <w:pPr>
            <w:pStyle w:val="795C7E806A074F138E740C67191DD1A2"/>
          </w:pPr>
          <w:r>
            <w:rPr>
              <w:rStyle w:val="PlaceholderText"/>
            </w:rPr>
            <w:t>Enter title</w:t>
          </w:r>
        </w:p>
      </w:docPartBody>
    </w:docPart>
    <w:docPart>
      <w:docPartPr>
        <w:name w:val="0BDDEF2C648C408CB7CE9BF7CD5DEECD"/>
        <w:category>
          <w:name w:val="General"/>
          <w:gallery w:val="placeholder"/>
        </w:category>
        <w:types>
          <w:type w:val="bbPlcHdr"/>
        </w:types>
        <w:behaviors>
          <w:behavior w:val="content"/>
        </w:behaviors>
        <w:guid w:val="{714E8AD1-9650-4729-AADC-D64A95818C2F}"/>
      </w:docPartPr>
      <w:docPartBody>
        <w:p w:rsidR="00311940" w:rsidRDefault="00311940">
          <w:pPr>
            <w:pStyle w:val="0BDDEF2C648C408CB7CE9BF7CD5DEECD"/>
          </w:pPr>
          <w:r>
            <w:rPr>
              <w:rStyle w:val="PlaceholderText"/>
            </w:rPr>
            <w:t>Enter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940"/>
    <w:rsid w:val="0000233C"/>
    <w:rsid w:val="001F604F"/>
    <w:rsid w:val="00311940"/>
    <w:rsid w:val="00432902"/>
    <w:rsid w:val="006E3EB9"/>
    <w:rsid w:val="00855933"/>
    <w:rsid w:val="00AA2589"/>
    <w:rsid w:val="00ED44AF"/>
    <w:rsid w:val="00FC6A4C"/>
    <w:rsid w:val="00FE0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auto"/>
      <w:bdr w:val="none" w:sz="0" w:space="0" w:color="auto"/>
      <w:shd w:val="clear" w:color="auto" w:fill="C0C0C0"/>
    </w:rPr>
  </w:style>
  <w:style w:type="paragraph" w:customStyle="1" w:styleId="9E9418288F934870BA6639F1432A406D">
    <w:name w:val="9E9418288F934870BA6639F1432A406D"/>
  </w:style>
  <w:style w:type="paragraph" w:customStyle="1" w:styleId="795C7E806A074F138E740C67191DD1A2">
    <w:name w:val="795C7E806A074F138E740C67191DD1A2"/>
  </w:style>
  <w:style w:type="paragraph" w:customStyle="1" w:styleId="0BDDEF2C648C408CB7CE9BF7CD5DEECD">
    <w:name w:val="0BDDEF2C648C408CB7CE9BF7CD5DE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QW 2020 Colours">
      <a:dk1>
        <a:srgbClr val="000000"/>
      </a:dk1>
      <a:lt1>
        <a:srgbClr val="1A1A1A"/>
      </a:lt1>
      <a:dk2>
        <a:srgbClr val="FFFFFF"/>
      </a:dk2>
      <a:lt2>
        <a:srgbClr val="EBEDEE"/>
      </a:lt2>
      <a:accent1>
        <a:srgbClr val="DA291C"/>
      </a:accent1>
      <a:accent2>
        <a:srgbClr val="9A3324"/>
      </a:accent2>
      <a:accent3>
        <a:srgbClr val="333F48"/>
      </a:accent3>
      <a:accent4>
        <a:srgbClr val="5B6770"/>
      </a:accent4>
      <a:accent5>
        <a:srgbClr val="9DA4A9"/>
      </a:accent5>
      <a:accent6>
        <a:srgbClr val="BDC2C6"/>
      </a:accent6>
      <a:hlink>
        <a:srgbClr val="0000FF"/>
      </a:hlink>
      <a:folHlink>
        <a:srgbClr val="80008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title> NHS SWL CCG Evaluation of the eRedBag </title>
</root>
</file>

<file path=customXml/item4.xml><?xml version="1.0" encoding="utf-8"?>
<ct:contentTypeSchema xmlns:ct="http://schemas.microsoft.com/office/2006/metadata/contentType" xmlns:ma="http://schemas.microsoft.com/office/2006/metadata/properties/metaAttributes" ct:_="" ma:_="" ma:contentTypeName="Document" ma:contentTypeID="0x010100E60E5D28E58AA842BC1E690072F1B3B9" ma:contentTypeVersion="" ma:contentTypeDescription="Create a new document." ma:contentTypeScope="" ma:versionID="dc37a43b4c0b4dc21e00893abfc6be08">
  <xsd:schema xmlns:xsd="http://www.w3.org/2001/XMLSchema" xmlns:xs="http://www.w3.org/2001/XMLSchema" xmlns:p="http://schemas.microsoft.com/office/2006/metadata/properties" targetNamespace="http://schemas.microsoft.com/office/2006/metadata/properties" ma:root="true" ma:fieldsID="54741e2abf48ed4ebb0a4f8081445d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A7C26-B69C-4BB1-BEC4-EB114C09B786}">
  <ds:schemaRefs>
    <ds:schemaRef ds:uri="http://schemas.openxmlformats.org/officeDocument/2006/bibliography"/>
  </ds:schemaRefs>
</ds:datastoreItem>
</file>

<file path=customXml/itemProps2.xml><?xml version="1.0" encoding="utf-8"?>
<ds:datastoreItem xmlns:ds="http://schemas.openxmlformats.org/officeDocument/2006/customXml" ds:itemID="{C670622D-6DD6-4AF8-B1B6-D94DCC7228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B247F2-FFC0-4D80-B7B8-298498AD0A69}">
  <ds:schemaRefs/>
</ds:datastoreItem>
</file>

<file path=customXml/itemProps4.xml><?xml version="1.0" encoding="utf-8"?>
<ds:datastoreItem xmlns:ds="http://schemas.openxmlformats.org/officeDocument/2006/customXml" ds:itemID="{4CA01EC3-DFB2-4DE6-83D5-6CA3C71EB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1139B0F-5A39-4F1C-B991-2F33DE46CD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C:\Users\sarahbrown\AppData\Roaming\Microsoft\Templates\SQW Working Paper 2020.dotx</Template>
  <TotalTime>1</TotalTime>
  <Pages>8</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Bilashe Begum</cp:lastModifiedBy>
  <cp:revision>3</cp:revision>
  <cp:lastPrinted>2020-02-07T18:24:00Z</cp:lastPrinted>
  <dcterms:created xsi:type="dcterms:W3CDTF">2021-04-30T10:58:00Z</dcterms:created>
  <dcterms:modified xsi:type="dcterms:W3CDTF">2021-05-05T12:58:00Z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0x010100E60E5D28E58AA842BC1E690072F1B3B9</vt:lpwstr>
  </property>
</Properties>
</file>